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45" w:rsidRPr="00D40145" w:rsidRDefault="00D40145" w:rsidP="00D40145">
      <w:pPr>
        <w:spacing w:after="0" w:line="360" w:lineRule="auto"/>
        <w:jc w:val="center"/>
        <w:rPr>
          <w:rFonts w:ascii="Times New Roman" w:eastAsia="Times New Roman" w:hAnsi="Times New Roman" w:cs="Times New Roman"/>
          <w:b/>
          <w:bCs/>
          <w:snapToGrid w:val="0"/>
          <w:sz w:val="32"/>
          <w:szCs w:val="32"/>
          <w:rtl/>
          <w:lang w:eastAsia="ar-SA" w:bidi="ar-IQ"/>
        </w:rPr>
      </w:pPr>
      <w:r w:rsidRPr="00D40145">
        <w:rPr>
          <w:rFonts w:ascii="Times New Roman" w:eastAsia="Times New Roman" w:hAnsi="Times New Roman" w:cs="Times New Roman" w:hint="cs"/>
          <w:b/>
          <w:bCs/>
          <w:snapToGrid w:val="0"/>
          <w:sz w:val="32"/>
          <w:szCs w:val="32"/>
          <w:rtl/>
          <w:lang w:eastAsia="ar-SA" w:bidi="ar-IQ"/>
        </w:rPr>
        <w:t>الترحيل الكهربائي</w:t>
      </w:r>
    </w:p>
    <w:p w:rsidR="00D40145" w:rsidRPr="00D40145" w:rsidRDefault="00D40145" w:rsidP="00D40145">
      <w:pPr>
        <w:spacing w:after="0" w:line="360" w:lineRule="auto"/>
        <w:ind w:firstLine="720"/>
        <w:jc w:val="lowKashida"/>
        <w:rPr>
          <w:rFonts w:ascii="Times New Roman" w:eastAsia="Times New Roman" w:hAnsi="Times New Roman" w:cs="Times New Roman"/>
          <w:snapToGrid w:val="0"/>
          <w:sz w:val="28"/>
          <w:szCs w:val="28"/>
          <w:rtl/>
          <w:lang w:eastAsia="ar-SA" w:bidi="ar-IQ"/>
        </w:rPr>
      </w:pPr>
      <w:r w:rsidRPr="00D40145">
        <w:rPr>
          <w:rFonts w:ascii="Times New Roman" w:eastAsia="Times New Roman" w:hAnsi="Times New Roman" w:cs="Times New Roman"/>
          <w:snapToGrid w:val="0"/>
          <w:sz w:val="28"/>
          <w:szCs w:val="28"/>
          <w:rtl/>
          <w:lang w:eastAsia="ar-SA" w:bidi="ar-IQ"/>
        </w:rPr>
        <w:t xml:space="preserve">يعرف الترحيل الكهربائي بأنه حركة الأيونات والجزيئات </w:t>
      </w:r>
      <w:r>
        <w:rPr>
          <w:rFonts w:ascii="Times New Roman" w:eastAsia="Times New Roman" w:hAnsi="Times New Roman" w:cs="Times New Roman" w:hint="cs"/>
          <w:snapToGrid w:val="0"/>
          <w:sz w:val="28"/>
          <w:szCs w:val="28"/>
          <w:rtl/>
          <w:lang w:eastAsia="ar-SA" w:bidi="ar-IQ"/>
        </w:rPr>
        <w:t>الكبيرة</w:t>
      </w:r>
      <w:r w:rsidRPr="00D40145">
        <w:rPr>
          <w:rFonts w:ascii="Times New Roman" w:eastAsia="Times New Roman" w:hAnsi="Times New Roman" w:cs="Times New Roman"/>
          <w:snapToGrid w:val="0"/>
          <w:sz w:val="28"/>
          <w:szCs w:val="28"/>
          <w:rtl/>
          <w:lang w:eastAsia="ar-SA" w:bidi="ar-IQ"/>
        </w:rPr>
        <w:t xml:space="preserve"> المشحونة </w:t>
      </w:r>
      <w:r w:rsidRPr="00D40145">
        <w:rPr>
          <w:rFonts w:ascii="Times New Roman" w:eastAsia="Times New Roman" w:hAnsi="Times New Roman" w:cs="Times New Roman"/>
          <w:snapToGrid w:val="0"/>
          <w:sz w:val="28"/>
          <w:szCs w:val="28"/>
          <w:lang w:eastAsia="ar-SA" w:bidi="ar-IQ"/>
        </w:rPr>
        <w:t>charged macromolecules</w:t>
      </w:r>
      <w:r w:rsidRPr="00D40145">
        <w:rPr>
          <w:rFonts w:ascii="Times New Roman" w:eastAsia="Times New Roman" w:hAnsi="Times New Roman" w:cs="Times New Roman"/>
          <w:snapToGrid w:val="0"/>
          <w:sz w:val="28"/>
          <w:szCs w:val="28"/>
          <w:rtl/>
          <w:lang w:eastAsia="ar-SA" w:bidi="ar-IQ"/>
        </w:rPr>
        <w:t xml:space="preserve"> </w:t>
      </w:r>
      <w:r w:rsidRPr="00D40145">
        <w:rPr>
          <w:rFonts w:ascii="Times New Roman" w:eastAsia="Times New Roman" w:hAnsi="Times New Roman" w:cs="Times New Roman"/>
          <w:snapToGrid w:val="0"/>
          <w:sz w:val="28"/>
          <w:szCs w:val="28"/>
          <w:rtl/>
          <w:lang w:eastAsia="ar-SA"/>
        </w:rPr>
        <w:t xml:space="preserve">(كالـ </w:t>
      </w:r>
      <w:r w:rsidRPr="00D40145">
        <w:rPr>
          <w:rFonts w:ascii="Times New Roman" w:eastAsia="Times New Roman" w:hAnsi="Times New Roman" w:cs="Times New Roman"/>
          <w:snapToGrid w:val="0"/>
          <w:sz w:val="28"/>
          <w:szCs w:val="28"/>
          <w:lang w:eastAsia="ar-SA"/>
        </w:rPr>
        <w:t>DNA, RNA, proteins</w:t>
      </w:r>
      <w:r w:rsidRPr="00D40145">
        <w:rPr>
          <w:rFonts w:ascii="Times New Roman" w:eastAsia="Times New Roman" w:hAnsi="Times New Roman" w:cs="Times New Roman"/>
          <w:snapToGrid w:val="0"/>
          <w:sz w:val="28"/>
          <w:szCs w:val="28"/>
          <w:rtl/>
          <w:lang w:eastAsia="ar-SA"/>
        </w:rPr>
        <w:t>)</w:t>
      </w:r>
      <w:r w:rsidRPr="00D40145">
        <w:rPr>
          <w:rFonts w:ascii="Times New Roman" w:eastAsia="Times New Roman" w:hAnsi="Times New Roman" w:cs="Times New Roman"/>
          <w:snapToGrid w:val="0"/>
          <w:sz w:val="28"/>
          <w:szCs w:val="28"/>
          <w:rtl/>
          <w:lang w:eastAsia="ar-SA" w:bidi="ar-IQ"/>
        </w:rPr>
        <w:t xml:space="preserve"> خلال وسط معين (</w:t>
      </w:r>
      <w:r>
        <w:rPr>
          <w:rFonts w:ascii="Times New Roman" w:eastAsia="Times New Roman" w:hAnsi="Times New Roman" w:cs="Times New Roman" w:hint="cs"/>
          <w:snapToGrid w:val="0"/>
          <w:sz w:val="28"/>
          <w:szCs w:val="28"/>
          <w:rtl/>
          <w:lang w:eastAsia="ar-SA" w:bidi="ar-IQ"/>
        </w:rPr>
        <w:t xml:space="preserve">مثل </w:t>
      </w:r>
      <w:r w:rsidRPr="00D40145">
        <w:rPr>
          <w:rFonts w:ascii="Times New Roman" w:eastAsia="Times New Roman" w:hAnsi="Times New Roman" w:cs="Times New Roman"/>
          <w:snapToGrid w:val="0"/>
          <w:sz w:val="28"/>
          <w:szCs w:val="28"/>
          <w:rtl/>
          <w:lang w:eastAsia="ar-SA" w:bidi="ar-IQ"/>
        </w:rPr>
        <w:t xml:space="preserve">هلام الأكاروز أو هلام متعدد الأكريلامايد) </w:t>
      </w:r>
      <w:r>
        <w:rPr>
          <w:rFonts w:ascii="Times New Roman" w:eastAsia="Times New Roman" w:hAnsi="Times New Roman" w:cs="Times New Roman" w:hint="cs"/>
          <w:snapToGrid w:val="0"/>
          <w:sz w:val="28"/>
          <w:szCs w:val="28"/>
          <w:rtl/>
          <w:lang w:eastAsia="ar-SA" w:bidi="ar-IQ"/>
        </w:rPr>
        <w:t>وذلك</w:t>
      </w:r>
      <w:r w:rsidRPr="00D40145">
        <w:rPr>
          <w:rFonts w:ascii="Times New Roman" w:eastAsia="Times New Roman" w:hAnsi="Times New Roman" w:cs="Times New Roman"/>
          <w:snapToGrid w:val="0"/>
          <w:sz w:val="28"/>
          <w:szCs w:val="28"/>
          <w:rtl/>
          <w:lang w:eastAsia="ar-SA" w:bidi="ar-IQ"/>
        </w:rPr>
        <w:t xml:space="preserve"> عند تسليط تيار كهربائي</w:t>
      </w:r>
      <w:r>
        <w:rPr>
          <w:rFonts w:ascii="Times New Roman" w:eastAsia="Times New Roman" w:hAnsi="Times New Roman" w:cs="Times New Roman" w:hint="cs"/>
          <w:snapToGrid w:val="0"/>
          <w:sz w:val="28"/>
          <w:szCs w:val="28"/>
          <w:rtl/>
          <w:lang w:eastAsia="ar-SA"/>
        </w:rPr>
        <w:t xml:space="preserve"> عليها.</w:t>
      </w:r>
    </w:p>
    <w:p w:rsidR="00D40145" w:rsidRDefault="00D40145" w:rsidP="00D40145">
      <w:pPr>
        <w:spacing w:after="0" w:line="360" w:lineRule="auto"/>
        <w:ind w:firstLine="720"/>
        <w:jc w:val="lowKashida"/>
        <w:rPr>
          <w:rFonts w:ascii="Times New Roman" w:eastAsia="Times New Roman" w:hAnsi="Times New Roman" w:cs="Times New Roman"/>
          <w:snapToGrid w:val="0"/>
          <w:sz w:val="28"/>
          <w:szCs w:val="28"/>
          <w:rtl/>
          <w:lang w:eastAsia="ar-SA"/>
        </w:rPr>
      </w:pPr>
      <w:r w:rsidRPr="00D40145">
        <w:rPr>
          <w:rFonts w:ascii="Times New Roman" w:eastAsia="Times New Roman" w:hAnsi="Times New Roman" w:cs="Times New Roman"/>
          <w:snapToGrid w:val="0"/>
          <w:sz w:val="28"/>
          <w:szCs w:val="28"/>
          <w:rtl/>
          <w:lang w:eastAsia="ar-SA"/>
        </w:rPr>
        <w:t>إن الجزيئة ذات الشحنة السالبة (</w:t>
      </w:r>
      <w:r w:rsidRPr="00D40145">
        <w:rPr>
          <w:rFonts w:ascii="Times New Roman" w:eastAsia="Times New Roman" w:hAnsi="Times New Roman" w:cs="Times New Roman"/>
          <w:snapToGrid w:val="0"/>
          <w:sz w:val="28"/>
          <w:szCs w:val="28"/>
          <w:lang w:eastAsia="ar-SA"/>
        </w:rPr>
        <w:t>anion</w:t>
      </w:r>
      <w:r w:rsidRPr="00D40145">
        <w:rPr>
          <w:rFonts w:ascii="Times New Roman" w:eastAsia="Times New Roman" w:hAnsi="Times New Roman" w:cs="Times New Roman"/>
          <w:snapToGrid w:val="0"/>
          <w:sz w:val="28"/>
          <w:szCs w:val="28"/>
          <w:rtl/>
          <w:lang w:eastAsia="ar-SA"/>
        </w:rPr>
        <w:t>) تهاجر وتنجذب إلى القطب الموجب (</w:t>
      </w:r>
      <w:r w:rsidRPr="00D40145">
        <w:rPr>
          <w:rFonts w:ascii="Times New Roman" w:eastAsia="Times New Roman" w:hAnsi="Times New Roman" w:cs="Times New Roman"/>
          <w:snapToGrid w:val="0"/>
          <w:sz w:val="28"/>
          <w:szCs w:val="28"/>
          <w:lang w:eastAsia="ar-SA"/>
        </w:rPr>
        <w:t>anode</w:t>
      </w:r>
      <w:r w:rsidRPr="00D40145">
        <w:rPr>
          <w:rFonts w:ascii="Times New Roman" w:eastAsia="Times New Roman" w:hAnsi="Times New Roman" w:cs="Times New Roman"/>
          <w:snapToGrid w:val="0"/>
          <w:sz w:val="28"/>
          <w:szCs w:val="28"/>
          <w:rtl/>
          <w:lang w:eastAsia="ar-SA"/>
        </w:rPr>
        <w:t>), والجزيئات ذات الشحنة ال</w:t>
      </w:r>
      <w:r w:rsidRPr="00D40145">
        <w:rPr>
          <w:rFonts w:ascii="Times New Roman" w:eastAsia="Times New Roman" w:hAnsi="Times New Roman" w:cs="Times New Roman"/>
          <w:snapToGrid w:val="0"/>
          <w:sz w:val="28"/>
          <w:szCs w:val="28"/>
          <w:rtl/>
          <w:lang w:eastAsia="ar-SA" w:bidi="ar-IQ"/>
        </w:rPr>
        <w:t xml:space="preserve">موجبة </w:t>
      </w:r>
      <w:r w:rsidRPr="00D40145">
        <w:rPr>
          <w:rFonts w:ascii="Times New Roman" w:eastAsia="Times New Roman" w:hAnsi="Times New Roman" w:cs="Times New Roman"/>
          <w:snapToGrid w:val="0"/>
          <w:sz w:val="28"/>
          <w:szCs w:val="28"/>
          <w:rtl/>
          <w:lang w:eastAsia="ar-SA"/>
        </w:rPr>
        <w:t>(</w:t>
      </w:r>
      <w:r w:rsidRPr="00D40145">
        <w:rPr>
          <w:rFonts w:ascii="Times New Roman" w:eastAsia="Times New Roman" w:hAnsi="Times New Roman" w:cs="Times New Roman"/>
          <w:snapToGrid w:val="0"/>
          <w:sz w:val="28"/>
          <w:szCs w:val="28"/>
          <w:lang w:eastAsia="ar-SA"/>
        </w:rPr>
        <w:t>cation</w:t>
      </w:r>
      <w:r w:rsidRPr="00D40145">
        <w:rPr>
          <w:rFonts w:ascii="Times New Roman" w:eastAsia="Times New Roman" w:hAnsi="Times New Roman" w:cs="Times New Roman"/>
          <w:snapToGrid w:val="0"/>
          <w:sz w:val="28"/>
          <w:szCs w:val="28"/>
          <w:rtl/>
          <w:lang w:eastAsia="ar-SA"/>
        </w:rPr>
        <w:t>) سوف تهاجر وتنجذب نحو القطب السالب (</w:t>
      </w:r>
      <w:r w:rsidRPr="00D40145">
        <w:rPr>
          <w:rFonts w:ascii="Times New Roman" w:eastAsia="Times New Roman" w:hAnsi="Times New Roman" w:cs="Times New Roman"/>
          <w:snapToGrid w:val="0"/>
          <w:sz w:val="28"/>
          <w:szCs w:val="28"/>
          <w:lang w:eastAsia="ar-SA"/>
        </w:rPr>
        <w:t>cathode</w:t>
      </w:r>
      <w:r w:rsidRPr="00D40145">
        <w:rPr>
          <w:rFonts w:ascii="Times New Roman" w:eastAsia="Times New Roman" w:hAnsi="Times New Roman" w:cs="Times New Roman"/>
          <w:snapToGrid w:val="0"/>
          <w:sz w:val="28"/>
          <w:szCs w:val="28"/>
          <w:rtl/>
          <w:lang w:eastAsia="ar-SA"/>
        </w:rPr>
        <w:t xml:space="preserve">). </w:t>
      </w:r>
    </w:p>
    <w:p w:rsidR="00D40145" w:rsidRDefault="00D40145" w:rsidP="00D40145">
      <w:pPr>
        <w:spacing w:after="0" w:line="360" w:lineRule="auto"/>
        <w:ind w:firstLine="720"/>
        <w:jc w:val="lowKashida"/>
        <w:rPr>
          <w:rFonts w:ascii="Times New Roman" w:eastAsia="Times New Roman" w:hAnsi="Times New Roman" w:cs="Times New Roman"/>
          <w:snapToGrid w:val="0"/>
          <w:sz w:val="28"/>
          <w:szCs w:val="28"/>
          <w:rtl/>
          <w:lang w:eastAsia="ar-SA"/>
        </w:rPr>
      </w:pPr>
      <w:r w:rsidRPr="00D40145">
        <w:rPr>
          <w:rFonts w:ascii="Times New Roman" w:eastAsia="Times New Roman" w:hAnsi="Times New Roman" w:cs="Times New Roman"/>
          <w:snapToGrid w:val="0"/>
          <w:sz w:val="28"/>
          <w:szCs w:val="28"/>
          <w:rtl/>
          <w:lang w:eastAsia="ar-SA"/>
        </w:rPr>
        <w:t xml:space="preserve">يتم الترحيل في هلام يتكون من ثقوب مجهرية دقيقة </w:t>
      </w:r>
      <w:r w:rsidRPr="00D40145">
        <w:rPr>
          <w:rFonts w:ascii="Times New Roman" w:eastAsia="Times New Roman" w:hAnsi="Times New Roman" w:cs="Times New Roman"/>
          <w:snapToGrid w:val="0"/>
          <w:sz w:val="28"/>
          <w:szCs w:val="28"/>
          <w:lang w:eastAsia="ar-SA"/>
        </w:rPr>
        <w:t>microscopic pores</w:t>
      </w:r>
      <w:r w:rsidRPr="00D40145">
        <w:rPr>
          <w:rFonts w:ascii="Times New Roman" w:eastAsia="Times New Roman" w:hAnsi="Times New Roman" w:cs="Times New Roman"/>
          <w:snapToGrid w:val="0"/>
          <w:sz w:val="28"/>
          <w:szCs w:val="28"/>
          <w:rtl/>
          <w:lang w:eastAsia="ar-SA"/>
        </w:rPr>
        <w:t xml:space="preserve"> , ويقوم هذا الهلام بإعاقة حركة الجزيئات المختلفة من خلال التأثير المنخلي </w:t>
      </w:r>
      <w:r w:rsidRPr="00D40145">
        <w:rPr>
          <w:rFonts w:ascii="Times New Roman" w:eastAsia="Times New Roman" w:hAnsi="Times New Roman" w:cs="Times New Roman"/>
          <w:snapToGrid w:val="0"/>
          <w:sz w:val="28"/>
          <w:szCs w:val="28"/>
          <w:lang w:eastAsia="ar-SA"/>
        </w:rPr>
        <w:t>sieving effect</w:t>
      </w:r>
      <w:r w:rsidRPr="00D40145">
        <w:rPr>
          <w:rFonts w:ascii="Times New Roman" w:eastAsia="Times New Roman" w:hAnsi="Times New Roman" w:cs="Times New Roman"/>
          <w:snapToGrid w:val="0"/>
          <w:sz w:val="28"/>
          <w:szCs w:val="28"/>
          <w:rtl/>
          <w:lang w:eastAsia="ar-SA"/>
        </w:rPr>
        <w:t xml:space="preserve"> لثقوبه الدقيقة, حيث إن الجزيئات الصغيرة أو المدمجة تهاجر بشكل أسرع خلال الهلام من الجزيئات الأكبر أو غير المتناظرة, والتي تواجه مقاومة احتكاكية </w:t>
      </w:r>
      <w:r w:rsidRPr="00D40145">
        <w:rPr>
          <w:rFonts w:ascii="Times New Roman" w:eastAsia="Times New Roman" w:hAnsi="Times New Roman" w:cs="Times New Roman"/>
          <w:snapToGrid w:val="0"/>
          <w:sz w:val="28"/>
          <w:szCs w:val="28"/>
          <w:lang w:eastAsia="ar-SA"/>
        </w:rPr>
        <w:t>frictional resistance</w:t>
      </w:r>
      <w:r w:rsidRPr="00D40145">
        <w:rPr>
          <w:rFonts w:ascii="Times New Roman" w:eastAsia="Times New Roman" w:hAnsi="Times New Roman" w:cs="Times New Roman"/>
          <w:snapToGrid w:val="0"/>
          <w:sz w:val="28"/>
          <w:szCs w:val="28"/>
          <w:rtl/>
          <w:lang w:eastAsia="ar-SA"/>
        </w:rPr>
        <w:t xml:space="preserve"> أثناء حركتها في شبكة الهلام الدقيقة</w:t>
      </w:r>
      <w:r w:rsidRPr="00D40145">
        <w:rPr>
          <w:rFonts w:ascii="Times New Roman" w:eastAsia="Times New Roman" w:hAnsi="Times New Roman" w:cs="Times New Roman"/>
          <w:snapToGrid w:val="0"/>
          <w:sz w:val="28"/>
          <w:szCs w:val="28"/>
          <w:rtl/>
          <w:lang w:eastAsia="ar-SA" w:bidi="ar-IQ"/>
        </w:rPr>
        <w:t xml:space="preserve"> </w:t>
      </w:r>
      <w:r w:rsidRPr="00D40145">
        <w:rPr>
          <w:rFonts w:ascii="Times New Roman" w:eastAsia="Times New Roman" w:hAnsi="Times New Roman" w:cs="Times New Roman"/>
          <w:snapToGrid w:val="0"/>
          <w:sz w:val="28"/>
          <w:szCs w:val="28"/>
          <w:lang w:eastAsia="ar-SA" w:bidi="ar-IQ"/>
        </w:rPr>
        <w:t>gel meshwork</w:t>
      </w:r>
      <w:r w:rsidRPr="00D40145">
        <w:rPr>
          <w:rFonts w:ascii="Times New Roman" w:eastAsia="Times New Roman" w:hAnsi="Times New Roman" w:cs="Times New Roman"/>
          <w:snapToGrid w:val="0"/>
          <w:sz w:val="28"/>
          <w:szCs w:val="28"/>
          <w:rtl/>
          <w:lang w:eastAsia="ar-SA"/>
        </w:rPr>
        <w:t xml:space="preserve">. </w:t>
      </w:r>
    </w:p>
    <w:p w:rsidR="00D40145" w:rsidRDefault="00D40145" w:rsidP="00D40145">
      <w:pPr>
        <w:spacing w:after="0" w:line="360" w:lineRule="auto"/>
        <w:ind w:firstLine="720"/>
        <w:jc w:val="lowKashida"/>
        <w:rPr>
          <w:rFonts w:ascii="Times New Roman" w:eastAsia="Times New Roman" w:hAnsi="Times New Roman" w:cs="Times New Roman"/>
          <w:snapToGrid w:val="0"/>
          <w:sz w:val="28"/>
          <w:szCs w:val="28"/>
          <w:rtl/>
          <w:lang w:eastAsia="ar-SA" w:bidi="ar-IQ"/>
        </w:rPr>
      </w:pPr>
      <w:r w:rsidRPr="00D40145">
        <w:rPr>
          <w:rFonts w:ascii="Times New Roman" w:eastAsia="Times New Roman" w:hAnsi="Times New Roman" w:cs="Times New Roman"/>
          <w:snapToGrid w:val="0"/>
          <w:sz w:val="28"/>
          <w:szCs w:val="28"/>
          <w:rtl/>
          <w:lang w:eastAsia="ar-SA"/>
        </w:rPr>
        <w:t>تستخدم تقنية الترحيل ال</w:t>
      </w:r>
      <w:r w:rsidRPr="00D40145">
        <w:rPr>
          <w:rFonts w:ascii="Times New Roman" w:eastAsia="Times New Roman" w:hAnsi="Times New Roman" w:cs="Times New Roman" w:hint="cs"/>
          <w:snapToGrid w:val="0"/>
          <w:sz w:val="28"/>
          <w:szCs w:val="28"/>
          <w:rtl/>
          <w:lang w:eastAsia="ar-SA"/>
        </w:rPr>
        <w:t>ذ</w:t>
      </w:r>
      <w:r w:rsidRPr="00D40145">
        <w:rPr>
          <w:rFonts w:ascii="Times New Roman" w:eastAsia="Times New Roman" w:hAnsi="Times New Roman" w:cs="Times New Roman"/>
          <w:snapToGrid w:val="0"/>
          <w:sz w:val="28"/>
          <w:szCs w:val="28"/>
          <w:rtl/>
          <w:lang w:eastAsia="ar-SA"/>
        </w:rPr>
        <w:t xml:space="preserve">كهربائي بشكل واسع في علم الخلية </w:t>
      </w:r>
      <w:r w:rsidRPr="00D40145">
        <w:rPr>
          <w:rFonts w:ascii="Times New Roman" w:eastAsia="Times New Roman" w:hAnsi="Times New Roman" w:cs="Times New Roman"/>
          <w:snapToGrid w:val="0"/>
          <w:sz w:val="28"/>
          <w:szCs w:val="28"/>
          <w:lang w:eastAsia="ar-SA"/>
        </w:rPr>
        <w:t>cytology</w:t>
      </w:r>
      <w:r w:rsidRPr="00D40145">
        <w:rPr>
          <w:rFonts w:ascii="Times New Roman" w:eastAsia="Times New Roman" w:hAnsi="Times New Roman" w:cs="Times New Roman"/>
          <w:snapToGrid w:val="0"/>
          <w:sz w:val="28"/>
          <w:szCs w:val="28"/>
          <w:rtl/>
          <w:lang w:eastAsia="ar-SA"/>
        </w:rPr>
        <w:t xml:space="preserve"> وفي الوراثة الجزيئية </w:t>
      </w:r>
      <w:r w:rsidRPr="00D40145">
        <w:rPr>
          <w:rFonts w:ascii="Times New Roman" w:eastAsia="Times New Roman" w:hAnsi="Times New Roman" w:cs="Times New Roman"/>
          <w:snapToGrid w:val="0"/>
          <w:sz w:val="28"/>
          <w:szCs w:val="28"/>
          <w:lang w:eastAsia="ar-SA"/>
        </w:rPr>
        <w:t>molecular genetics</w:t>
      </w:r>
      <w:r w:rsidRPr="00D40145">
        <w:rPr>
          <w:rFonts w:ascii="Times New Roman" w:eastAsia="Times New Roman" w:hAnsi="Times New Roman" w:cs="Times New Roman"/>
          <w:snapToGrid w:val="0"/>
          <w:sz w:val="28"/>
          <w:szCs w:val="28"/>
          <w:rtl/>
          <w:lang w:eastAsia="ar-SA"/>
        </w:rPr>
        <w:t xml:space="preserve"> لفصل الجزيئات الكبيرة العملاقة </w:t>
      </w:r>
      <w:r w:rsidRPr="00D40145">
        <w:rPr>
          <w:rFonts w:ascii="Times New Roman" w:eastAsia="Times New Roman" w:hAnsi="Times New Roman" w:cs="Times New Roman"/>
          <w:snapToGrid w:val="0"/>
          <w:sz w:val="28"/>
          <w:szCs w:val="28"/>
          <w:lang w:eastAsia="ar-SA"/>
        </w:rPr>
        <w:t>macromolecules</w:t>
      </w:r>
      <w:r w:rsidRPr="00D40145">
        <w:rPr>
          <w:rFonts w:ascii="Times New Roman" w:eastAsia="Times New Roman" w:hAnsi="Times New Roman" w:cs="Times New Roman"/>
          <w:snapToGrid w:val="0"/>
          <w:sz w:val="28"/>
          <w:szCs w:val="28"/>
          <w:rtl/>
          <w:lang w:eastAsia="ar-SA"/>
        </w:rPr>
        <w:t>. يمكن معرفة حجم هذه الجزيئات المفصولة على الهلام من خلال مقارنته</w:t>
      </w:r>
      <w:r w:rsidRPr="00D40145">
        <w:rPr>
          <w:rFonts w:ascii="Times New Roman" w:eastAsia="Times New Roman" w:hAnsi="Times New Roman" w:cs="Times New Roman"/>
          <w:snapToGrid w:val="0"/>
          <w:sz w:val="28"/>
          <w:szCs w:val="28"/>
          <w:rtl/>
          <w:lang w:eastAsia="ar-SA" w:bidi="ar-IQ"/>
        </w:rPr>
        <w:t>ا</w:t>
      </w:r>
      <w:r w:rsidRPr="00D40145">
        <w:rPr>
          <w:rFonts w:ascii="Times New Roman" w:eastAsia="Times New Roman" w:hAnsi="Times New Roman" w:cs="Times New Roman"/>
          <w:snapToGrid w:val="0"/>
          <w:sz w:val="28"/>
          <w:szCs w:val="28"/>
          <w:rtl/>
          <w:lang w:eastAsia="ar-SA"/>
        </w:rPr>
        <w:t xml:space="preserve"> بواسمات جزيئية قياسية </w:t>
      </w:r>
      <w:r w:rsidRPr="00D40145">
        <w:rPr>
          <w:rFonts w:ascii="Times New Roman" w:eastAsia="Times New Roman" w:hAnsi="Times New Roman" w:cs="Times New Roman"/>
          <w:snapToGrid w:val="0"/>
          <w:sz w:val="28"/>
          <w:szCs w:val="28"/>
          <w:lang w:eastAsia="ar-SA"/>
        </w:rPr>
        <w:t>standard molecular markers</w:t>
      </w:r>
      <w:r w:rsidRPr="00D40145">
        <w:rPr>
          <w:rFonts w:ascii="Times New Roman" w:eastAsia="Times New Roman" w:hAnsi="Times New Roman" w:cs="Times New Roman"/>
          <w:snapToGrid w:val="0"/>
          <w:sz w:val="28"/>
          <w:szCs w:val="28"/>
          <w:rtl/>
          <w:lang w:eastAsia="ar-SA"/>
        </w:rPr>
        <w:t xml:space="preserve"> والتي ترحل بموازاة العينة الغير معروفة خلال الترحيل الكهربائي في الهلام.</w:t>
      </w:r>
      <w:r>
        <w:rPr>
          <w:rFonts w:ascii="Times New Roman" w:eastAsia="Times New Roman" w:hAnsi="Times New Roman" w:cs="Times New Roman" w:hint="cs"/>
          <w:snapToGrid w:val="0"/>
          <w:sz w:val="28"/>
          <w:szCs w:val="28"/>
          <w:rtl/>
          <w:lang w:eastAsia="ar-SA" w:bidi="ar-IQ"/>
        </w:rPr>
        <w:t xml:space="preserve"> يمكن ربط جهاز الترحيل الكهربائي بـ جهاز تصويري </w:t>
      </w:r>
      <w:r>
        <w:rPr>
          <w:rFonts w:ascii="Times New Roman" w:eastAsia="Times New Roman" w:hAnsi="Times New Roman" w:cs="Times New Roman"/>
          <w:snapToGrid w:val="0"/>
          <w:sz w:val="28"/>
          <w:szCs w:val="28"/>
          <w:lang w:eastAsia="ar-SA" w:bidi="ar-IQ"/>
        </w:rPr>
        <w:t xml:space="preserve">gel documentation system </w:t>
      </w:r>
      <w:r>
        <w:rPr>
          <w:rFonts w:ascii="Times New Roman" w:eastAsia="Times New Roman" w:hAnsi="Times New Roman" w:cs="Times New Roman" w:hint="cs"/>
          <w:snapToGrid w:val="0"/>
          <w:sz w:val="28"/>
          <w:szCs w:val="28"/>
          <w:rtl/>
          <w:lang w:eastAsia="ar-SA" w:bidi="ar-IQ"/>
        </w:rPr>
        <w:t xml:space="preserve"> والذي يساعد في تاكيد رؤية الجزيئات المفصولة والتاكد من وزنها الجزيئي كما في الصورة ادناه</w:t>
      </w:r>
    </w:p>
    <w:p w:rsidR="00D40145" w:rsidRPr="00D40145" w:rsidRDefault="00D40145" w:rsidP="00D40145">
      <w:pPr>
        <w:spacing w:after="0" w:line="360" w:lineRule="auto"/>
        <w:ind w:firstLine="720"/>
        <w:jc w:val="lowKashida"/>
        <w:rPr>
          <w:rFonts w:ascii="Times New Roman" w:eastAsia="Times New Roman" w:hAnsi="Times New Roman" w:cs="Times New Roman"/>
          <w:snapToGrid w:val="0"/>
          <w:sz w:val="28"/>
          <w:szCs w:val="28"/>
          <w:rtl/>
          <w:lang w:eastAsia="ar-SA" w:bidi="ar-IQ"/>
        </w:rPr>
      </w:pPr>
    </w:p>
    <w:p w:rsidR="00D40145" w:rsidRPr="00D40145" w:rsidRDefault="00D40145" w:rsidP="00D40145">
      <w:pPr>
        <w:spacing w:after="0" w:line="360" w:lineRule="auto"/>
        <w:ind w:firstLine="720"/>
        <w:jc w:val="center"/>
        <w:rPr>
          <w:rFonts w:ascii="Times New Roman" w:eastAsia="Times New Roman" w:hAnsi="Times New Roman" w:cs="Times New Roman"/>
          <w:snapToGrid w:val="0"/>
          <w:sz w:val="28"/>
          <w:szCs w:val="28"/>
          <w:rtl/>
          <w:lang w:eastAsia="ar-SA" w:bidi="ar-IQ"/>
        </w:rPr>
      </w:pPr>
      <w:r>
        <w:rPr>
          <w:noProof/>
        </w:rPr>
        <w:drawing>
          <wp:inline distT="0" distB="0" distL="0" distR="0" wp14:anchorId="6BA7F114" wp14:editId="23E1FFF5">
            <wp:extent cx="264795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019" t="20235" r="25776" b="10386"/>
                    <a:stretch/>
                  </pic:blipFill>
                  <pic:spPr bwMode="auto">
                    <a:xfrm>
                      <a:off x="0" y="0"/>
                      <a:ext cx="2647950" cy="2057400"/>
                    </a:xfrm>
                    <a:prstGeom prst="rect">
                      <a:avLst/>
                    </a:prstGeom>
                    <a:ln>
                      <a:noFill/>
                    </a:ln>
                    <a:extLst>
                      <a:ext uri="{53640926-AAD7-44D8-BBD7-CCE9431645EC}">
                        <a14:shadowObscured xmlns:a14="http://schemas.microsoft.com/office/drawing/2010/main"/>
                      </a:ext>
                    </a:extLst>
                  </pic:spPr>
                </pic:pic>
              </a:graphicData>
            </a:graphic>
          </wp:inline>
        </w:drawing>
      </w:r>
    </w:p>
    <w:p w:rsidR="00D40145" w:rsidRDefault="00D40145" w:rsidP="00D40145">
      <w:pPr>
        <w:spacing w:after="0" w:line="360" w:lineRule="auto"/>
        <w:ind w:firstLine="720"/>
        <w:jc w:val="lowKashida"/>
        <w:rPr>
          <w:rFonts w:ascii="Times New Roman" w:eastAsia="Times New Roman" w:hAnsi="Times New Roman" w:cs="Times New Roman"/>
          <w:snapToGrid w:val="0"/>
          <w:sz w:val="28"/>
          <w:szCs w:val="28"/>
          <w:rtl/>
          <w:lang w:eastAsia="ar-SA" w:bidi="ar-IQ"/>
        </w:rPr>
      </w:pPr>
    </w:p>
    <w:p w:rsidR="00D40145" w:rsidRPr="00D40145" w:rsidRDefault="00D40145" w:rsidP="00D40145">
      <w:pPr>
        <w:spacing w:after="0" w:line="360" w:lineRule="auto"/>
        <w:ind w:firstLine="720"/>
        <w:jc w:val="lowKashida"/>
        <w:rPr>
          <w:rFonts w:ascii="Times New Roman" w:eastAsia="Times New Roman" w:hAnsi="Times New Roman" w:cs="Times New Roman"/>
          <w:snapToGrid w:val="0"/>
          <w:sz w:val="28"/>
          <w:szCs w:val="28"/>
          <w:rtl/>
          <w:lang w:eastAsia="ar-SA" w:bidi="ar-IQ"/>
        </w:rPr>
      </w:pPr>
      <w:r w:rsidRPr="00D40145">
        <w:rPr>
          <w:rFonts w:ascii="Times New Roman" w:eastAsia="Times New Roman" w:hAnsi="Times New Roman" w:cs="Times New Roman"/>
          <w:snapToGrid w:val="0"/>
          <w:sz w:val="28"/>
          <w:szCs w:val="28"/>
          <w:rtl/>
          <w:lang w:eastAsia="ar-SA"/>
        </w:rPr>
        <w:lastRenderedPageBreak/>
        <w:t xml:space="preserve">تحمل جزيئات الـ </w:t>
      </w:r>
      <w:r w:rsidRPr="00D40145">
        <w:rPr>
          <w:rFonts w:ascii="Times New Roman" w:eastAsia="Times New Roman" w:hAnsi="Times New Roman" w:cs="Times New Roman"/>
          <w:snapToGrid w:val="0"/>
          <w:sz w:val="28"/>
          <w:szCs w:val="28"/>
          <w:lang w:eastAsia="ar-SA"/>
        </w:rPr>
        <w:t>DNA</w:t>
      </w:r>
      <w:r w:rsidRPr="00D40145">
        <w:rPr>
          <w:rFonts w:ascii="Times New Roman" w:eastAsia="Times New Roman" w:hAnsi="Times New Roman" w:cs="Times New Roman"/>
          <w:snapToGrid w:val="0"/>
          <w:sz w:val="28"/>
          <w:szCs w:val="28"/>
          <w:rtl/>
          <w:lang w:eastAsia="ar-SA"/>
        </w:rPr>
        <w:t xml:space="preserve"> والـ </w:t>
      </w:r>
      <w:r w:rsidRPr="00D40145">
        <w:rPr>
          <w:rFonts w:ascii="Times New Roman" w:eastAsia="Times New Roman" w:hAnsi="Times New Roman" w:cs="Times New Roman"/>
          <w:snapToGrid w:val="0"/>
          <w:sz w:val="28"/>
          <w:szCs w:val="28"/>
          <w:lang w:eastAsia="ar-SA"/>
        </w:rPr>
        <w:t>RNA</w:t>
      </w:r>
      <w:r w:rsidRPr="00D40145">
        <w:rPr>
          <w:rFonts w:ascii="Times New Roman" w:eastAsia="Times New Roman" w:hAnsi="Times New Roman" w:cs="Times New Roman"/>
          <w:snapToGrid w:val="0"/>
          <w:sz w:val="28"/>
          <w:szCs w:val="28"/>
          <w:rtl/>
          <w:lang w:eastAsia="ar-SA"/>
        </w:rPr>
        <w:t xml:space="preserve"> شحنة سالبة أصيلة بسبب عمودها الفقري المحتوي على الفوسفات. أما البروتينات, فإنها تحمل شحنات مختلفة على سطحها باختلاف شحنات الأحماض الأمينية الموجودة فيها.</w:t>
      </w:r>
      <w:r w:rsidRPr="00D40145">
        <w:rPr>
          <w:rFonts w:ascii="Times New Roman" w:eastAsia="Times New Roman" w:hAnsi="Times New Roman" w:cs="Times New Roman"/>
          <w:snapToGrid w:val="0"/>
          <w:sz w:val="28"/>
          <w:szCs w:val="28"/>
          <w:rtl/>
          <w:lang w:eastAsia="ar-SA" w:bidi="ar-IQ"/>
        </w:rPr>
        <w:t xml:space="preserve"> ولهذا وبالنسبة للبروتينات فقط, فان محصلة شحنة الجزيئات تلعب دورا مهما في حركتها في الهلام.</w:t>
      </w:r>
    </w:p>
    <w:p w:rsidR="00FC05F2" w:rsidRDefault="00FC05F2">
      <w:pPr>
        <w:rPr>
          <w:rtl/>
          <w:lang w:bidi="ar-IQ"/>
        </w:rPr>
      </w:pPr>
    </w:p>
    <w:p w:rsidR="00D40145" w:rsidRPr="00D40145" w:rsidRDefault="00D40145" w:rsidP="00C004CB">
      <w:pPr>
        <w:numPr>
          <w:ilvl w:val="0"/>
          <w:numId w:val="2"/>
        </w:numPr>
        <w:spacing w:after="0" w:line="360" w:lineRule="auto"/>
        <w:jc w:val="lowKashida"/>
        <w:rPr>
          <w:rFonts w:ascii="Times New Roman" w:eastAsia="Times New Roman" w:hAnsi="Times New Roman" w:cs="Times New Roman"/>
          <w:b/>
          <w:bCs/>
          <w:snapToGrid w:val="0"/>
          <w:sz w:val="28"/>
          <w:szCs w:val="28"/>
          <w:rtl/>
          <w:lang w:eastAsia="ar-SA" w:bidi="ar-IQ"/>
        </w:rPr>
      </w:pPr>
      <w:r w:rsidRPr="00D40145">
        <w:rPr>
          <w:rFonts w:ascii="Times New Roman" w:eastAsia="Times New Roman" w:hAnsi="Times New Roman" w:cs="Times New Roman"/>
          <w:b/>
          <w:bCs/>
          <w:snapToGrid w:val="0"/>
          <w:sz w:val="28"/>
          <w:szCs w:val="28"/>
          <w:rtl/>
          <w:lang w:eastAsia="ar-SA" w:bidi="ar-IQ"/>
        </w:rPr>
        <w:t>العو</w:t>
      </w:r>
      <w:r w:rsidR="00C004CB">
        <w:rPr>
          <w:rFonts w:ascii="Times New Roman" w:eastAsia="Times New Roman" w:hAnsi="Times New Roman" w:cs="Times New Roman"/>
          <w:b/>
          <w:bCs/>
          <w:snapToGrid w:val="0"/>
          <w:sz w:val="28"/>
          <w:szCs w:val="28"/>
          <w:rtl/>
          <w:lang w:eastAsia="ar-SA" w:bidi="ar-IQ"/>
        </w:rPr>
        <w:t xml:space="preserve">امل التي تتحكم بحركة </w:t>
      </w:r>
      <w:r w:rsidR="00C004CB">
        <w:rPr>
          <w:rFonts w:ascii="Times New Roman" w:eastAsia="Times New Roman" w:hAnsi="Times New Roman" w:cs="Times New Roman" w:hint="cs"/>
          <w:b/>
          <w:bCs/>
          <w:snapToGrid w:val="0"/>
          <w:sz w:val="28"/>
          <w:szCs w:val="28"/>
          <w:rtl/>
          <w:lang w:eastAsia="ar-SA" w:bidi="ar-IQ"/>
        </w:rPr>
        <w:t>ال</w:t>
      </w:r>
      <w:r w:rsidR="00C004CB">
        <w:rPr>
          <w:rFonts w:ascii="Times New Roman" w:eastAsia="Times New Roman" w:hAnsi="Times New Roman" w:cs="Times New Roman"/>
          <w:b/>
          <w:bCs/>
          <w:snapToGrid w:val="0"/>
          <w:sz w:val="28"/>
          <w:szCs w:val="28"/>
          <w:rtl/>
          <w:lang w:eastAsia="ar-SA" w:bidi="ar-IQ"/>
        </w:rPr>
        <w:t xml:space="preserve">جزيئات </w:t>
      </w:r>
      <w:r w:rsidRPr="00D40145">
        <w:rPr>
          <w:rFonts w:ascii="Times New Roman" w:eastAsia="Times New Roman" w:hAnsi="Times New Roman" w:cs="Times New Roman"/>
          <w:b/>
          <w:bCs/>
          <w:snapToGrid w:val="0"/>
          <w:sz w:val="28"/>
          <w:szCs w:val="28"/>
          <w:rtl/>
          <w:lang w:eastAsia="ar-SA" w:bidi="ar-IQ"/>
        </w:rPr>
        <w:t>في الهلام:</w:t>
      </w:r>
    </w:p>
    <w:p w:rsidR="00D40145" w:rsidRPr="00D40145" w:rsidRDefault="00D40145" w:rsidP="00D40145">
      <w:pPr>
        <w:spacing w:after="0" w:line="360" w:lineRule="auto"/>
        <w:ind w:left="720"/>
        <w:jc w:val="lowKashida"/>
        <w:rPr>
          <w:rFonts w:ascii="Times New Roman" w:eastAsia="Times New Roman" w:hAnsi="Times New Roman" w:cs="Times New Roman"/>
          <w:snapToGrid w:val="0"/>
          <w:sz w:val="28"/>
          <w:szCs w:val="28"/>
          <w:rtl/>
          <w:lang w:eastAsia="ar-SA" w:bidi="ar-IQ"/>
        </w:rPr>
      </w:pPr>
    </w:p>
    <w:p w:rsidR="00D40145" w:rsidRPr="00D40145" w:rsidRDefault="00D40145" w:rsidP="00D40145">
      <w:pPr>
        <w:numPr>
          <w:ilvl w:val="0"/>
          <w:numId w:val="1"/>
        </w:numPr>
        <w:spacing w:after="0" w:line="360" w:lineRule="auto"/>
        <w:jc w:val="lowKashida"/>
        <w:rPr>
          <w:rFonts w:ascii="Times New Roman" w:eastAsia="Times New Roman" w:hAnsi="Times New Roman" w:cs="Times New Roman"/>
          <w:snapToGrid w:val="0"/>
          <w:sz w:val="28"/>
          <w:szCs w:val="28"/>
          <w:lang w:eastAsia="ar-SA" w:bidi="ar-IQ"/>
        </w:rPr>
      </w:pPr>
      <w:r w:rsidRPr="00D40145">
        <w:rPr>
          <w:rFonts w:ascii="Times New Roman" w:eastAsia="Times New Roman" w:hAnsi="Times New Roman" w:cs="Times New Roman"/>
          <w:snapToGrid w:val="0"/>
          <w:sz w:val="28"/>
          <w:szCs w:val="28"/>
          <w:rtl/>
          <w:lang w:eastAsia="ar-SA" w:bidi="ar-IQ"/>
        </w:rPr>
        <w:t xml:space="preserve">الشحنة </w:t>
      </w:r>
      <w:r w:rsidRPr="00D40145">
        <w:rPr>
          <w:rFonts w:ascii="Times New Roman" w:eastAsia="Times New Roman" w:hAnsi="Times New Roman" w:cs="Times New Roman"/>
          <w:snapToGrid w:val="0"/>
          <w:sz w:val="28"/>
          <w:szCs w:val="28"/>
          <w:lang w:eastAsia="ar-SA" w:bidi="ar-IQ"/>
        </w:rPr>
        <w:t>charge</w:t>
      </w:r>
      <w:r w:rsidRPr="00D40145">
        <w:rPr>
          <w:rFonts w:ascii="Times New Roman" w:eastAsia="Times New Roman" w:hAnsi="Times New Roman" w:cs="Times New Roman"/>
          <w:snapToGrid w:val="0"/>
          <w:sz w:val="28"/>
          <w:szCs w:val="28"/>
          <w:rtl/>
          <w:lang w:eastAsia="ar-SA" w:bidi="ar-IQ"/>
        </w:rPr>
        <w:t xml:space="preserve"> (فيما إذا لو كانت سالبة أو موجبة)</w:t>
      </w:r>
    </w:p>
    <w:p w:rsidR="00D40145" w:rsidRPr="00D40145" w:rsidRDefault="00D40145" w:rsidP="00D40145">
      <w:pPr>
        <w:numPr>
          <w:ilvl w:val="0"/>
          <w:numId w:val="1"/>
        </w:numPr>
        <w:spacing w:after="0" w:line="360" w:lineRule="auto"/>
        <w:jc w:val="lowKashida"/>
        <w:rPr>
          <w:rFonts w:ascii="Times New Roman" w:eastAsia="Times New Roman" w:hAnsi="Times New Roman" w:cs="Times New Roman"/>
          <w:snapToGrid w:val="0"/>
          <w:sz w:val="28"/>
          <w:szCs w:val="28"/>
          <w:lang w:eastAsia="ar-SA" w:bidi="ar-IQ"/>
        </w:rPr>
      </w:pPr>
      <w:r w:rsidRPr="00D40145">
        <w:rPr>
          <w:rFonts w:ascii="Times New Roman" w:eastAsia="Times New Roman" w:hAnsi="Times New Roman" w:cs="Times New Roman"/>
          <w:snapToGrid w:val="0"/>
          <w:sz w:val="28"/>
          <w:szCs w:val="28"/>
          <w:rtl/>
          <w:lang w:eastAsia="ar-SA" w:bidi="ar-IQ"/>
        </w:rPr>
        <w:t xml:space="preserve">حجمها أو وزنها الجزيئي </w:t>
      </w:r>
      <w:r w:rsidRPr="00D40145">
        <w:rPr>
          <w:rFonts w:ascii="Times New Roman" w:eastAsia="Times New Roman" w:hAnsi="Times New Roman" w:cs="Times New Roman"/>
          <w:snapToGrid w:val="0"/>
          <w:sz w:val="28"/>
          <w:szCs w:val="28"/>
          <w:lang w:eastAsia="ar-SA" w:bidi="ar-IQ"/>
        </w:rPr>
        <w:t>formula weight</w:t>
      </w:r>
      <w:r w:rsidRPr="00D40145">
        <w:rPr>
          <w:rFonts w:ascii="Times New Roman" w:eastAsia="Times New Roman" w:hAnsi="Times New Roman" w:cs="Times New Roman"/>
          <w:snapToGrid w:val="0"/>
          <w:sz w:val="28"/>
          <w:szCs w:val="28"/>
          <w:rtl/>
          <w:lang w:eastAsia="ar-SA" w:bidi="ar-IQ"/>
        </w:rPr>
        <w:t xml:space="preserve"> (فالجزيئات الصغيرة تتحرك خلال الهلام بصورة أسرع من الجزيئات الكبيرة)</w:t>
      </w:r>
    </w:p>
    <w:p w:rsidR="00D40145" w:rsidRPr="00D40145" w:rsidRDefault="00D40145" w:rsidP="00D40145">
      <w:pPr>
        <w:numPr>
          <w:ilvl w:val="0"/>
          <w:numId w:val="1"/>
        </w:numPr>
        <w:spacing w:after="0" w:line="360" w:lineRule="auto"/>
        <w:jc w:val="lowKashida"/>
        <w:rPr>
          <w:rFonts w:ascii="Times New Roman" w:eastAsia="Times New Roman" w:hAnsi="Times New Roman" w:cs="Times New Roman"/>
          <w:snapToGrid w:val="0"/>
          <w:sz w:val="28"/>
          <w:szCs w:val="28"/>
          <w:lang w:eastAsia="ar-SA"/>
        </w:rPr>
      </w:pPr>
      <w:r w:rsidRPr="00D40145">
        <w:rPr>
          <w:rFonts w:ascii="Times New Roman" w:eastAsia="Times New Roman" w:hAnsi="Times New Roman" w:cs="Times New Roman"/>
          <w:snapToGrid w:val="0"/>
          <w:sz w:val="28"/>
          <w:szCs w:val="28"/>
          <w:rtl/>
          <w:lang w:eastAsia="ar-SA"/>
        </w:rPr>
        <w:t xml:space="preserve">حجم الثقوب </w:t>
      </w:r>
      <w:r w:rsidRPr="00D40145">
        <w:rPr>
          <w:rFonts w:ascii="Times New Roman" w:eastAsia="Times New Roman" w:hAnsi="Times New Roman" w:cs="Times New Roman"/>
          <w:snapToGrid w:val="0"/>
          <w:sz w:val="28"/>
          <w:szCs w:val="28"/>
          <w:lang w:eastAsia="ar-SA"/>
        </w:rPr>
        <w:t>pore size</w:t>
      </w:r>
      <w:r w:rsidRPr="00D40145">
        <w:rPr>
          <w:rFonts w:ascii="Times New Roman" w:eastAsia="Times New Roman" w:hAnsi="Times New Roman" w:cs="Times New Roman"/>
          <w:snapToGrid w:val="0"/>
          <w:sz w:val="28"/>
          <w:szCs w:val="28"/>
          <w:rtl/>
          <w:lang w:eastAsia="ar-SA" w:bidi="ar-IQ"/>
        </w:rPr>
        <w:t xml:space="preserve"> (كلما كان حجم الثقوب صغيرا كلما كان ذلك ملائما لفصل الجزيئات الصغيرة والعكس بالعكس)</w:t>
      </w:r>
    </w:p>
    <w:p w:rsidR="00D40145" w:rsidRPr="00D40145" w:rsidRDefault="00D40145" w:rsidP="00D40145">
      <w:pPr>
        <w:numPr>
          <w:ilvl w:val="0"/>
          <w:numId w:val="1"/>
        </w:numPr>
        <w:spacing w:after="0" w:line="360" w:lineRule="auto"/>
        <w:jc w:val="lowKashida"/>
        <w:rPr>
          <w:rFonts w:ascii="Times New Roman" w:eastAsia="Times New Roman" w:hAnsi="Times New Roman" w:cs="Times New Roman"/>
          <w:snapToGrid w:val="0"/>
          <w:sz w:val="28"/>
          <w:szCs w:val="28"/>
          <w:lang w:eastAsia="ar-SA"/>
        </w:rPr>
      </w:pPr>
      <w:r w:rsidRPr="00D40145">
        <w:rPr>
          <w:rFonts w:ascii="Times New Roman" w:eastAsia="Times New Roman" w:hAnsi="Times New Roman" w:cs="Times New Roman"/>
          <w:snapToGrid w:val="0"/>
          <w:sz w:val="28"/>
          <w:szCs w:val="28"/>
          <w:rtl/>
          <w:lang w:eastAsia="ar-SA" w:bidi="ar-IQ"/>
        </w:rPr>
        <w:t xml:space="preserve">قوة التيار الكهربائي </w:t>
      </w:r>
      <w:r w:rsidRPr="00D40145">
        <w:rPr>
          <w:rFonts w:ascii="Times New Roman" w:eastAsia="Times New Roman" w:hAnsi="Times New Roman" w:cs="Times New Roman"/>
          <w:snapToGrid w:val="0"/>
          <w:sz w:val="28"/>
          <w:szCs w:val="28"/>
          <w:lang w:eastAsia="ar-SA"/>
        </w:rPr>
        <w:t>the strength of the electrical field</w:t>
      </w:r>
      <w:r w:rsidRPr="00D40145">
        <w:rPr>
          <w:rFonts w:ascii="Times New Roman" w:eastAsia="Times New Roman" w:hAnsi="Times New Roman" w:cs="Times New Roman"/>
          <w:snapToGrid w:val="0"/>
          <w:sz w:val="28"/>
          <w:szCs w:val="28"/>
          <w:rtl/>
          <w:lang w:eastAsia="ar-SA" w:bidi="ar-IQ"/>
        </w:rPr>
        <w:t xml:space="preserve"> (يستخدم التيار الكهربائي العالي للفصل السريع للجزيئات الصغيرة بشكل عام ولكن على أن لا يكون عالي جدا لأن هذا يؤدي إلى تحطم الجزيئات عند تعرضها إليه. أما التيار الواطيء فيستخدم عادة لفصل الجزيئات الكبيرة التي تتشوه عند الارتفاع البسيط لقوة التيار, ولكن على أن لا يكون التيار واطيء جدا لأنه كلما كان التيار واطئا كان وقت الترحيل كبيرا, وكلما ازداد وقت الترحيل ازدادت نسبة تعرض حزم الجزيئات المرحلة إلى حالة الانتشار </w:t>
      </w:r>
      <w:r w:rsidRPr="00D40145">
        <w:rPr>
          <w:rFonts w:ascii="Times New Roman" w:eastAsia="Times New Roman" w:hAnsi="Times New Roman" w:cs="Times New Roman"/>
          <w:snapToGrid w:val="0"/>
          <w:sz w:val="28"/>
          <w:szCs w:val="28"/>
          <w:lang w:eastAsia="ar-SA" w:bidi="ar-IQ"/>
        </w:rPr>
        <w:t>band diffusion</w:t>
      </w:r>
      <w:r w:rsidRPr="00D40145">
        <w:rPr>
          <w:rFonts w:ascii="Times New Roman" w:eastAsia="Times New Roman" w:hAnsi="Times New Roman" w:cs="Times New Roman"/>
          <w:snapToGrid w:val="0"/>
          <w:sz w:val="28"/>
          <w:szCs w:val="28"/>
          <w:rtl/>
          <w:lang w:eastAsia="ar-SA" w:bidi="ar-IQ"/>
        </w:rPr>
        <w:t xml:space="preserve"> والذي هو غير مرغوب أثناء عملية الترحيل في الهلام)</w:t>
      </w:r>
    </w:p>
    <w:p w:rsidR="00D40145" w:rsidRPr="00D40145" w:rsidRDefault="00D40145" w:rsidP="00D40145">
      <w:pPr>
        <w:spacing w:after="0" w:line="360" w:lineRule="auto"/>
        <w:ind w:left="720"/>
        <w:jc w:val="lowKashida"/>
        <w:rPr>
          <w:rFonts w:ascii="Times New Roman" w:eastAsia="Times New Roman" w:hAnsi="Times New Roman" w:cs="Times New Roman"/>
          <w:snapToGrid w:val="0"/>
          <w:sz w:val="28"/>
          <w:szCs w:val="28"/>
          <w:lang w:eastAsia="ar-SA"/>
        </w:rPr>
      </w:pPr>
    </w:p>
    <w:p w:rsidR="00D40145" w:rsidRPr="00D40145" w:rsidRDefault="00D40145" w:rsidP="00D40145">
      <w:pPr>
        <w:spacing w:after="0" w:line="360" w:lineRule="auto"/>
        <w:ind w:left="26" w:firstLine="720"/>
        <w:jc w:val="lowKashida"/>
        <w:rPr>
          <w:rFonts w:ascii="Times New Roman" w:eastAsia="Times New Roman" w:hAnsi="Times New Roman" w:cs="Times New Roman"/>
          <w:snapToGrid w:val="0"/>
          <w:sz w:val="28"/>
          <w:szCs w:val="28"/>
          <w:rtl/>
          <w:lang w:eastAsia="ar-SA" w:bidi="ar-IQ"/>
        </w:rPr>
      </w:pPr>
      <w:r w:rsidRPr="00D40145">
        <w:rPr>
          <w:rFonts w:ascii="Times New Roman" w:eastAsia="Times New Roman" w:hAnsi="Times New Roman" w:cs="Times New Roman"/>
          <w:snapToGrid w:val="0"/>
          <w:sz w:val="28"/>
          <w:szCs w:val="28"/>
          <w:rtl/>
          <w:lang w:eastAsia="ar-SA" w:bidi="ar-IQ"/>
        </w:rPr>
        <w:t xml:space="preserve">تهاجر جزيئات الـ </w:t>
      </w:r>
      <w:r w:rsidRPr="00D40145">
        <w:rPr>
          <w:rFonts w:ascii="Times New Roman" w:eastAsia="Times New Roman" w:hAnsi="Times New Roman" w:cs="Times New Roman"/>
          <w:snapToGrid w:val="0"/>
          <w:sz w:val="28"/>
          <w:szCs w:val="28"/>
          <w:lang w:eastAsia="ar-SA" w:bidi="ar-IQ"/>
        </w:rPr>
        <w:t>DNA</w:t>
      </w:r>
      <w:r w:rsidRPr="00D40145">
        <w:rPr>
          <w:rFonts w:ascii="Times New Roman" w:eastAsia="Times New Roman" w:hAnsi="Times New Roman" w:cs="Times New Roman"/>
          <w:snapToGrid w:val="0"/>
          <w:sz w:val="28"/>
          <w:szCs w:val="28"/>
          <w:rtl/>
          <w:lang w:eastAsia="ar-SA" w:bidi="ar-IQ"/>
        </w:rPr>
        <w:t xml:space="preserve"> ثنائية الشريط بشكل مختلف اعتمادا على كون الـ </w:t>
      </w:r>
      <w:r w:rsidRPr="00D40145">
        <w:rPr>
          <w:rFonts w:ascii="Times New Roman" w:eastAsia="Times New Roman" w:hAnsi="Times New Roman" w:cs="Times New Roman"/>
          <w:snapToGrid w:val="0"/>
          <w:sz w:val="28"/>
          <w:szCs w:val="28"/>
          <w:lang w:eastAsia="ar-SA"/>
        </w:rPr>
        <w:t>DNA</w:t>
      </w:r>
      <w:r w:rsidRPr="00D40145">
        <w:rPr>
          <w:rFonts w:ascii="Times New Roman" w:eastAsia="Times New Roman" w:hAnsi="Times New Roman" w:cs="Times New Roman"/>
          <w:snapToGrid w:val="0"/>
          <w:sz w:val="28"/>
          <w:szCs w:val="28"/>
          <w:rtl/>
          <w:lang w:eastAsia="ar-SA" w:bidi="ar-IQ"/>
        </w:rPr>
        <w:t xml:space="preserve"> دائري </w:t>
      </w:r>
      <w:r w:rsidRPr="00D40145">
        <w:rPr>
          <w:rFonts w:ascii="Times New Roman" w:eastAsia="Times New Roman" w:hAnsi="Times New Roman" w:cs="Times New Roman"/>
          <w:snapToGrid w:val="0"/>
          <w:sz w:val="28"/>
          <w:szCs w:val="28"/>
          <w:lang w:eastAsia="ar-SA" w:bidi="ar-IQ"/>
        </w:rPr>
        <w:t>circular</w:t>
      </w:r>
      <w:r w:rsidRPr="00D40145">
        <w:rPr>
          <w:rFonts w:ascii="Times New Roman" w:eastAsia="Times New Roman" w:hAnsi="Times New Roman" w:cs="Times New Roman"/>
          <w:snapToGrid w:val="0"/>
          <w:sz w:val="28"/>
          <w:szCs w:val="28"/>
          <w:rtl/>
          <w:lang w:eastAsia="ar-SA" w:bidi="ar-IQ"/>
        </w:rPr>
        <w:t xml:space="preserve"> أو خطي </w:t>
      </w:r>
      <w:r w:rsidRPr="00D40145">
        <w:rPr>
          <w:rFonts w:ascii="Times New Roman" w:eastAsia="Times New Roman" w:hAnsi="Times New Roman" w:cs="Times New Roman"/>
          <w:snapToGrid w:val="0"/>
          <w:sz w:val="28"/>
          <w:szCs w:val="28"/>
          <w:lang w:eastAsia="ar-SA" w:bidi="ar-IQ"/>
        </w:rPr>
        <w:t>linear</w:t>
      </w:r>
      <w:r w:rsidRPr="00D40145">
        <w:rPr>
          <w:rFonts w:ascii="Times New Roman" w:eastAsia="Times New Roman" w:hAnsi="Times New Roman" w:cs="Times New Roman"/>
          <w:snapToGrid w:val="0"/>
          <w:sz w:val="28"/>
          <w:szCs w:val="28"/>
          <w:rtl/>
          <w:lang w:eastAsia="ar-SA" w:bidi="ar-IQ"/>
        </w:rPr>
        <w:t>. تهاجر الجزيئات الخطية عبر ثقوب الأكاروز بشكل يشبه الأفعى من خلال الثقوب. أما الجزيئات الدائرية المغلقة تساهميا</w:t>
      </w:r>
      <w:r w:rsidRPr="00D40145">
        <w:rPr>
          <w:rFonts w:ascii="Times New Roman" w:eastAsia="Times New Roman" w:hAnsi="Times New Roman" w:cs="Times New Roman" w:hint="cs"/>
          <w:snapToGrid w:val="0"/>
          <w:sz w:val="28"/>
          <w:szCs w:val="28"/>
          <w:rtl/>
          <w:lang w:eastAsia="ar-SA" w:bidi="ar-IQ"/>
        </w:rPr>
        <w:t xml:space="preserve"> ً</w:t>
      </w:r>
      <w:r w:rsidRPr="00D40145">
        <w:rPr>
          <w:rFonts w:ascii="Times New Roman" w:eastAsia="Times New Roman" w:hAnsi="Times New Roman" w:cs="Times New Roman"/>
          <w:snapToGrid w:val="0"/>
          <w:sz w:val="28"/>
          <w:szCs w:val="28"/>
          <w:rtl/>
          <w:lang w:eastAsia="ar-SA" w:bidi="ar-IQ"/>
        </w:rPr>
        <w:t xml:space="preserve"> </w:t>
      </w:r>
      <w:r w:rsidRPr="00D40145">
        <w:rPr>
          <w:rFonts w:ascii="Times New Roman" w:eastAsia="Times New Roman" w:hAnsi="Times New Roman" w:cs="Times New Roman"/>
          <w:snapToGrid w:val="0"/>
          <w:sz w:val="28"/>
          <w:szCs w:val="28"/>
          <w:lang w:eastAsia="ar-SA" w:bidi="ar-IQ"/>
        </w:rPr>
        <w:t>covalently closed circular molecules</w:t>
      </w:r>
      <w:r w:rsidRPr="00D40145">
        <w:rPr>
          <w:rFonts w:ascii="Times New Roman" w:eastAsia="Times New Roman" w:hAnsi="Times New Roman" w:cs="Times New Roman"/>
          <w:snapToGrid w:val="0"/>
          <w:sz w:val="28"/>
          <w:szCs w:val="28"/>
          <w:rtl/>
          <w:lang w:eastAsia="ar-SA" w:bidi="ar-IQ"/>
        </w:rPr>
        <w:t xml:space="preserve"> أو </w:t>
      </w:r>
      <w:r w:rsidRPr="00D40145">
        <w:rPr>
          <w:rFonts w:ascii="Times New Roman" w:eastAsia="Times New Roman" w:hAnsi="Times New Roman" w:cs="Times New Roman"/>
          <w:snapToGrid w:val="0"/>
          <w:sz w:val="28"/>
          <w:szCs w:val="28"/>
          <w:lang w:eastAsia="ar-SA" w:bidi="ar-IQ"/>
        </w:rPr>
        <w:t>CCC</w:t>
      </w:r>
      <w:r w:rsidRPr="00D40145">
        <w:rPr>
          <w:rFonts w:ascii="Times New Roman" w:eastAsia="Times New Roman" w:hAnsi="Times New Roman" w:cs="Times New Roman"/>
          <w:snapToGrid w:val="0"/>
          <w:sz w:val="28"/>
          <w:szCs w:val="28"/>
          <w:rtl/>
          <w:lang w:eastAsia="ar-SA" w:bidi="ar-IQ"/>
        </w:rPr>
        <w:t xml:space="preserve"> فأنها مدمجة </w:t>
      </w:r>
      <w:r w:rsidRPr="00D40145">
        <w:rPr>
          <w:rFonts w:ascii="Times New Roman" w:eastAsia="Times New Roman" w:hAnsi="Times New Roman" w:cs="Times New Roman"/>
          <w:snapToGrid w:val="0"/>
          <w:sz w:val="28"/>
          <w:szCs w:val="28"/>
          <w:lang w:eastAsia="ar-SA" w:bidi="ar-IQ"/>
        </w:rPr>
        <w:t>compact</w:t>
      </w:r>
      <w:r w:rsidRPr="00D40145">
        <w:rPr>
          <w:rFonts w:ascii="Times New Roman" w:eastAsia="Times New Roman" w:hAnsi="Times New Roman" w:cs="Times New Roman"/>
          <w:snapToGrid w:val="0"/>
          <w:sz w:val="28"/>
          <w:szCs w:val="28"/>
          <w:rtl/>
          <w:lang w:eastAsia="ar-SA" w:bidi="ar-IQ"/>
        </w:rPr>
        <w:t xml:space="preserve"> أكثر لذا تهاجر عبر الثقوب بسهولة أكبر. وغالبا ما تهاجر الجزيئات الخطية ببطء أكثر مقارنة بجزيئات الـ </w:t>
      </w:r>
      <w:r w:rsidRPr="00D40145">
        <w:rPr>
          <w:rFonts w:ascii="Times New Roman" w:eastAsia="Times New Roman" w:hAnsi="Times New Roman" w:cs="Times New Roman"/>
          <w:snapToGrid w:val="0"/>
          <w:sz w:val="28"/>
          <w:szCs w:val="28"/>
          <w:lang w:eastAsia="ar-SA"/>
        </w:rPr>
        <w:t>CCC</w:t>
      </w:r>
      <w:r w:rsidRPr="00D40145">
        <w:rPr>
          <w:rFonts w:ascii="Times New Roman" w:eastAsia="Times New Roman" w:hAnsi="Times New Roman" w:cs="Times New Roman"/>
          <w:snapToGrid w:val="0"/>
          <w:sz w:val="28"/>
          <w:szCs w:val="28"/>
          <w:rtl/>
          <w:lang w:eastAsia="ar-SA" w:bidi="ar-IQ"/>
        </w:rPr>
        <w:t xml:space="preserve">. </w:t>
      </w:r>
    </w:p>
    <w:p w:rsidR="00C716BB" w:rsidRDefault="00C716BB" w:rsidP="00D40145">
      <w:pPr>
        <w:jc w:val="center"/>
        <w:rPr>
          <w:lang w:bidi="ar-IQ"/>
        </w:rPr>
      </w:pPr>
    </w:p>
    <w:p w:rsidR="00C716BB" w:rsidRDefault="00C716BB" w:rsidP="00D40145">
      <w:pPr>
        <w:jc w:val="center"/>
        <w:rPr>
          <w:lang w:bidi="ar-IQ"/>
        </w:rPr>
      </w:pPr>
    </w:p>
    <w:p w:rsidR="00D40145" w:rsidRDefault="00D40145" w:rsidP="00D40145">
      <w:pPr>
        <w:jc w:val="center"/>
        <w:rPr>
          <w:rtl/>
          <w:lang w:bidi="ar-IQ"/>
        </w:rPr>
      </w:pPr>
      <w:r>
        <w:rPr>
          <w:noProof/>
        </w:rPr>
        <w:lastRenderedPageBreak/>
        <w:drawing>
          <wp:inline distT="0" distB="0" distL="0" distR="0" wp14:anchorId="21F1C1EF">
            <wp:extent cx="4123690"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3690" cy="2495550"/>
                    </a:xfrm>
                    <a:prstGeom prst="rect">
                      <a:avLst/>
                    </a:prstGeom>
                    <a:noFill/>
                  </pic:spPr>
                </pic:pic>
              </a:graphicData>
            </a:graphic>
          </wp:inline>
        </w:drawing>
      </w:r>
    </w:p>
    <w:p w:rsidR="00C716BB" w:rsidRDefault="00C716BB" w:rsidP="00D40145">
      <w:pPr>
        <w:jc w:val="center"/>
        <w:rPr>
          <w:rtl/>
          <w:lang w:bidi="ar-IQ"/>
        </w:rPr>
      </w:pPr>
    </w:p>
    <w:p w:rsidR="00C716BB" w:rsidRDefault="00C716BB" w:rsidP="00D40145">
      <w:pPr>
        <w:jc w:val="center"/>
        <w:rPr>
          <w:rtl/>
          <w:lang w:bidi="ar-IQ"/>
        </w:rPr>
      </w:pPr>
    </w:p>
    <w:p w:rsidR="00C716BB" w:rsidRPr="00C716BB" w:rsidRDefault="00C716BB" w:rsidP="00C716BB">
      <w:pPr>
        <w:bidi w:val="0"/>
        <w:rPr>
          <w:rFonts w:ascii="Times New Roman" w:hAnsi="Times New Roman" w:cs="Times New Roman"/>
          <w:b/>
          <w:bCs/>
          <w:sz w:val="28"/>
          <w:szCs w:val="28"/>
          <w:lang w:bidi="ar-IQ"/>
        </w:rPr>
      </w:pPr>
      <w:r w:rsidRPr="00C716BB">
        <w:rPr>
          <w:rFonts w:ascii="Times New Roman" w:hAnsi="Times New Roman" w:cs="Times New Roman"/>
          <w:b/>
          <w:bCs/>
          <w:sz w:val="28"/>
          <w:szCs w:val="28"/>
          <w:lang w:bidi="ar-IQ"/>
        </w:rPr>
        <w:t xml:space="preserve">Reference </w:t>
      </w:r>
    </w:p>
    <w:p w:rsidR="00C716BB" w:rsidRDefault="00C716BB" w:rsidP="00C716BB">
      <w:pPr>
        <w:bidi w:val="0"/>
        <w:rPr>
          <w:rFonts w:asciiTheme="majorBidi" w:hAnsiTheme="majorBidi" w:cstheme="majorBidi"/>
          <w:sz w:val="28"/>
          <w:szCs w:val="28"/>
          <w:lang w:bidi="ar-IQ"/>
        </w:rPr>
      </w:pPr>
      <w:proofErr w:type="spellStart"/>
      <w:r w:rsidRPr="00C716BB">
        <w:rPr>
          <w:rFonts w:asciiTheme="majorBidi" w:hAnsiTheme="majorBidi" w:cstheme="majorBidi"/>
          <w:sz w:val="28"/>
          <w:szCs w:val="28"/>
          <w:lang w:bidi="ar-IQ"/>
        </w:rPr>
        <w:t>Pulimamidi</w:t>
      </w:r>
      <w:proofErr w:type="spellEnd"/>
      <w:r w:rsidRPr="00C716BB">
        <w:rPr>
          <w:rFonts w:asciiTheme="majorBidi" w:hAnsiTheme="majorBidi" w:cstheme="majorBidi"/>
          <w:sz w:val="28"/>
          <w:szCs w:val="28"/>
          <w:lang w:bidi="ar-IQ"/>
        </w:rPr>
        <w:t xml:space="preserve"> </w:t>
      </w:r>
      <w:proofErr w:type="spellStart"/>
      <w:r w:rsidRPr="00C716BB">
        <w:rPr>
          <w:rFonts w:asciiTheme="majorBidi" w:hAnsiTheme="majorBidi" w:cstheme="majorBidi"/>
          <w:sz w:val="28"/>
          <w:szCs w:val="28"/>
          <w:lang w:bidi="ar-IQ"/>
        </w:rPr>
        <w:t>Rabindra</w:t>
      </w:r>
      <w:proofErr w:type="spellEnd"/>
      <w:r w:rsidRPr="00C716BB">
        <w:rPr>
          <w:rFonts w:asciiTheme="majorBidi" w:hAnsiTheme="majorBidi" w:cstheme="majorBidi"/>
          <w:sz w:val="28"/>
          <w:szCs w:val="28"/>
          <w:lang w:bidi="ar-IQ"/>
        </w:rPr>
        <w:t xml:space="preserve"> Reddy and </w:t>
      </w:r>
      <w:proofErr w:type="spellStart"/>
      <w:r w:rsidRPr="00C716BB">
        <w:rPr>
          <w:rFonts w:asciiTheme="majorBidi" w:hAnsiTheme="majorBidi" w:cstheme="majorBidi"/>
          <w:sz w:val="28"/>
          <w:szCs w:val="28"/>
          <w:lang w:bidi="ar-IQ"/>
        </w:rPr>
        <w:t>Nomula</w:t>
      </w:r>
      <w:proofErr w:type="spellEnd"/>
      <w:r w:rsidRPr="00C716BB">
        <w:rPr>
          <w:rFonts w:asciiTheme="majorBidi" w:hAnsiTheme="majorBidi" w:cstheme="majorBidi"/>
          <w:sz w:val="28"/>
          <w:szCs w:val="28"/>
          <w:lang w:bidi="ar-IQ"/>
        </w:rPr>
        <w:t xml:space="preserve"> Raju (April 4th 2012). Gel-Electrophoresis and Its Applications, Gel Electrophoresis - Principles and Basics, </w:t>
      </w:r>
      <w:proofErr w:type="spellStart"/>
      <w:r w:rsidRPr="00C716BB">
        <w:rPr>
          <w:rFonts w:asciiTheme="majorBidi" w:hAnsiTheme="majorBidi" w:cstheme="majorBidi"/>
          <w:sz w:val="28"/>
          <w:szCs w:val="28"/>
          <w:lang w:bidi="ar-IQ"/>
        </w:rPr>
        <w:t>Sameh</w:t>
      </w:r>
      <w:proofErr w:type="spellEnd"/>
      <w:r w:rsidRPr="00C716BB">
        <w:rPr>
          <w:rFonts w:asciiTheme="majorBidi" w:hAnsiTheme="majorBidi" w:cstheme="majorBidi"/>
          <w:sz w:val="28"/>
          <w:szCs w:val="28"/>
          <w:lang w:bidi="ar-IQ"/>
        </w:rPr>
        <w:t xml:space="preserve"> </w:t>
      </w:r>
      <w:proofErr w:type="spellStart"/>
      <w:r w:rsidRPr="00C716BB">
        <w:rPr>
          <w:rFonts w:asciiTheme="majorBidi" w:hAnsiTheme="majorBidi" w:cstheme="majorBidi"/>
          <w:sz w:val="28"/>
          <w:szCs w:val="28"/>
          <w:lang w:bidi="ar-IQ"/>
        </w:rPr>
        <w:t>Magdeldin</w:t>
      </w:r>
      <w:proofErr w:type="spellEnd"/>
      <w:r w:rsidRPr="00C716BB">
        <w:rPr>
          <w:rFonts w:asciiTheme="majorBidi" w:hAnsiTheme="majorBidi" w:cstheme="majorBidi"/>
          <w:sz w:val="28"/>
          <w:szCs w:val="28"/>
          <w:lang w:bidi="ar-IQ"/>
        </w:rPr>
        <w:t xml:space="preserve">, </w:t>
      </w:r>
      <w:proofErr w:type="spellStart"/>
      <w:r w:rsidRPr="00C716BB">
        <w:rPr>
          <w:rFonts w:asciiTheme="majorBidi" w:hAnsiTheme="majorBidi" w:cstheme="majorBidi"/>
          <w:sz w:val="28"/>
          <w:szCs w:val="28"/>
          <w:lang w:bidi="ar-IQ"/>
        </w:rPr>
        <w:t>IntechOpen</w:t>
      </w:r>
      <w:proofErr w:type="spellEnd"/>
      <w:r w:rsidRPr="00C716BB">
        <w:rPr>
          <w:rFonts w:asciiTheme="majorBidi" w:hAnsiTheme="majorBidi" w:cstheme="majorBidi"/>
          <w:sz w:val="28"/>
          <w:szCs w:val="28"/>
          <w:lang w:bidi="ar-IQ"/>
        </w:rPr>
        <w:t xml:space="preserve">, DOI: 10.5772/38479. </w:t>
      </w:r>
    </w:p>
    <w:p w:rsidR="00C716BB" w:rsidRPr="00C716BB" w:rsidRDefault="00C716BB" w:rsidP="00C716BB">
      <w:pPr>
        <w:bidi w:val="0"/>
        <w:rPr>
          <w:rFonts w:asciiTheme="majorBidi" w:hAnsiTheme="majorBidi" w:cstheme="majorBidi"/>
          <w:sz w:val="28"/>
          <w:szCs w:val="28"/>
          <w:lang w:bidi="ar-IQ"/>
        </w:rPr>
      </w:pPr>
      <w:hyperlink r:id="rId9" w:history="1">
        <w:r w:rsidRPr="00D6723C">
          <w:rPr>
            <w:rStyle w:val="Hyperlink"/>
            <w:rFonts w:asciiTheme="majorBidi" w:hAnsiTheme="majorBidi" w:cstheme="majorBidi"/>
            <w:sz w:val="28"/>
            <w:szCs w:val="28"/>
            <w:lang w:bidi="ar-IQ"/>
          </w:rPr>
          <w:t>https://www.intechopen.com/books/gel-electrophoresis-principles-and-basics/gel-electrophoresis-and-its-applications</w:t>
        </w:r>
      </w:hyperlink>
      <w:r>
        <w:rPr>
          <w:rFonts w:asciiTheme="majorBidi" w:hAnsiTheme="majorBidi" w:cstheme="majorBidi"/>
          <w:sz w:val="28"/>
          <w:szCs w:val="28"/>
          <w:lang w:bidi="ar-IQ"/>
        </w:rPr>
        <w:t xml:space="preserve"> </w:t>
      </w:r>
      <w:bookmarkStart w:id="0" w:name="_GoBack"/>
      <w:bookmarkEnd w:id="0"/>
    </w:p>
    <w:sectPr w:rsidR="00C716BB" w:rsidRPr="00C716BB" w:rsidSect="00F013A6">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BE1" w:rsidRDefault="00EF2BE1" w:rsidP="00BA1C90">
      <w:pPr>
        <w:spacing w:after="0" w:line="240" w:lineRule="auto"/>
      </w:pPr>
      <w:r>
        <w:separator/>
      </w:r>
    </w:p>
  </w:endnote>
  <w:endnote w:type="continuationSeparator" w:id="0">
    <w:p w:rsidR="00EF2BE1" w:rsidRDefault="00EF2BE1" w:rsidP="00BA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14407863"/>
      <w:docPartObj>
        <w:docPartGallery w:val="Page Numbers (Bottom of Page)"/>
        <w:docPartUnique/>
      </w:docPartObj>
    </w:sdtPr>
    <w:sdtEndPr>
      <w:rPr>
        <w:b/>
        <w:bCs/>
      </w:rPr>
    </w:sdtEndPr>
    <w:sdtContent>
      <w:p w:rsidR="00BA1C90" w:rsidRDefault="00BA1C90" w:rsidP="00BA1C9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716BB" w:rsidRPr="00C716BB">
          <w:rPr>
            <w:b/>
            <w:bCs/>
            <w:noProof/>
            <w:rtl/>
          </w:rPr>
          <w:t>3</w:t>
        </w:r>
        <w:r>
          <w:rPr>
            <w:b/>
            <w:bCs/>
            <w:noProof/>
          </w:rPr>
          <w:fldChar w:fldCharType="end"/>
        </w:r>
        <w:r>
          <w:rPr>
            <w:b/>
            <w:bCs/>
          </w:rPr>
          <w:t xml:space="preserve"> | </w:t>
        </w:r>
        <w:r>
          <w:rPr>
            <w:color w:val="7F7F7F" w:themeColor="background1" w:themeShade="7F"/>
            <w:spacing w:val="60"/>
          </w:rPr>
          <w:t>Page</w:t>
        </w:r>
      </w:p>
    </w:sdtContent>
  </w:sdt>
  <w:p w:rsidR="00BA1C90" w:rsidRDefault="00BA1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BE1" w:rsidRDefault="00EF2BE1" w:rsidP="00BA1C90">
      <w:pPr>
        <w:spacing w:after="0" w:line="240" w:lineRule="auto"/>
      </w:pPr>
      <w:r>
        <w:separator/>
      </w:r>
    </w:p>
  </w:footnote>
  <w:footnote w:type="continuationSeparator" w:id="0">
    <w:p w:rsidR="00EF2BE1" w:rsidRDefault="00EF2BE1" w:rsidP="00BA1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25222"/>
    <w:multiLevelType w:val="hybridMultilevel"/>
    <w:tmpl w:val="9FC24CC6"/>
    <w:lvl w:ilvl="0" w:tplc="9B8CE13A">
      <w:numFmt w:val="bullet"/>
      <w:lvlText w:val=""/>
      <w:lvlJc w:val="left"/>
      <w:pPr>
        <w:tabs>
          <w:tab w:val="num" w:pos="1080"/>
        </w:tabs>
        <w:ind w:left="1080" w:hanging="360"/>
      </w:pPr>
      <w:rPr>
        <w:rFonts w:ascii="Symbol" w:eastAsia="Times New Roman" w:hAnsi="Symbol" w:cs="Arial" w:hint="default"/>
        <w:b/>
        <w:sz w:val="32"/>
        <w:lang w:bidi="ar-IQ"/>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86E75D6"/>
    <w:multiLevelType w:val="hybridMultilevel"/>
    <w:tmpl w:val="E1483CEE"/>
    <w:lvl w:ilvl="0" w:tplc="0D0E4D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7B"/>
    <w:rsid w:val="0047477B"/>
    <w:rsid w:val="00BA1C90"/>
    <w:rsid w:val="00C004CB"/>
    <w:rsid w:val="00C716BB"/>
    <w:rsid w:val="00D40145"/>
    <w:rsid w:val="00EF2BE1"/>
    <w:rsid w:val="00F013A6"/>
    <w:rsid w:val="00FC05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F8E5A-5CFF-4F3C-8967-3BC9CBCB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1C90"/>
  </w:style>
  <w:style w:type="paragraph" w:styleId="Footer">
    <w:name w:val="footer"/>
    <w:basedOn w:val="Normal"/>
    <w:link w:val="FooterChar"/>
    <w:uiPriority w:val="99"/>
    <w:unhideWhenUsed/>
    <w:rsid w:val="00BA1C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1C90"/>
  </w:style>
  <w:style w:type="character" w:styleId="Hyperlink">
    <w:name w:val="Hyperlink"/>
    <w:basedOn w:val="DefaultParagraphFont"/>
    <w:uiPriority w:val="99"/>
    <w:unhideWhenUsed/>
    <w:rsid w:val="00C716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ntechopen.com/books/gel-electrophoresis-principles-and-basics/gel-electrophoresis-and-its-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2019-09-09T16:09:00Z</dcterms:created>
  <dcterms:modified xsi:type="dcterms:W3CDTF">2019-09-09T16:28:00Z</dcterms:modified>
</cp:coreProperties>
</file>