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AA2A" w14:textId="3A55BF04" w:rsidR="00882513" w:rsidRDefault="007D6754" w:rsidP="007D6754">
      <w:pPr>
        <w:jc w:val="both"/>
        <w:rPr>
          <w:b/>
          <w:bCs/>
          <w:sz w:val="24"/>
          <w:szCs w:val="24"/>
          <w:rtl/>
          <w:lang w:bidi="ar-IQ"/>
        </w:rPr>
      </w:pPr>
      <w:r w:rsidRPr="00CB23B2">
        <w:rPr>
          <w:rFonts w:cs="Arial"/>
          <w:b/>
          <w:bCs/>
          <w:sz w:val="28"/>
          <w:szCs w:val="28"/>
          <w:rtl/>
          <w:lang w:bidi="ar-IQ"/>
        </w:rPr>
        <w:t xml:space="preserve">يوم </w:t>
      </w:r>
      <w:proofErr w:type="gramStart"/>
      <w:r w:rsidRPr="00CB23B2">
        <w:rPr>
          <w:rFonts w:cs="Arial"/>
          <w:b/>
          <w:bCs/>
          <w:sz w:val="28"/>
          <w:szCs w:val="28"/>
          <w:rtl/>
          <w:lang w:bidi="ar-IQ"/>
        </w:rPr>
        <w:t>الخناجر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 :</w:t>
      </w:r>
      <w:proofErr w:type="gramEnd"/>
      <w:r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IQ"/>
        </w:rPr>
        <w:t>عبارة عن حادثة وقعت بتاريخ</w:t>
      </w:r>
      <w:r w:rsidRPr="007D6754">
        <w:rPr>
          <w:rFonts w:cs="Arial"/>
          <w:b/>
          <w:bCs/>
          <w:sz w:val="24"/>
          <w:szCs w:val="24"/>
          <w:rtl/>
          <w:lang w:bidi="ar-IQ"/>
        </w:rPr>
        <w:t xml:space="preserve"> 28 </w:t>
      </w:r>
      <w:r>
        <w:rPr>
          <w:rFonts w:cs="Arial" w:hint="cs"/>
          <w:b/>
          <w:bCs/>
          <w:sz w:val="24"/>
          <w:szCs w:val="24"/>
          <w:rtl/>
          <w:lang w:bidi="ar-IQ"/>
        </w:rPr>
        <w:t>شباط</w:t>
      </w:r>
      <w:r w:rsidRPr="007D6754">
        <w:rPr>
          <w:rFonts w:cs="Arial"/>
          <w:b/>
          <w:bCs/>
          <w:sz w:val="24"/>
          <w:szCs w:val="24"/>
          <w:rtl/>
          <w:lang w:bidi="ar-IQ"/>
        </w:rPr>
        <w:t xml:space="preserve"> 1791، 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إذ </w:t>
      </w:r>
      <w:r w:rsidRPr="007D6754">
        <w:rPr>
          <w:rFonts w:cs="Arial"/>
          <w:b/>
          <w:bCs/>
          <w:sz w:val="24"/>
          <w:szCs w:val="24"/>
          <w:rtl/>
          <w:lang w:bidi="ar-IQ"/>
        </w:rPr>
        <w:t xml:space="preserve">توجه مئات 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من </w:t>
      </w:r>
      <w:r w:rsidRPr="007D6754">
        <w:rPr>
          <w:rFonts w:cs="Arial"/>
          <w:b/>
          <w:bCs/>
          <w:sz w:val="24"/>
          <w:szCs w:val="24"/>
          <w:rtl/>
          <w:lang w:bidi="ar-IQ"/>
        </w:rPr>
        <w:t xml:space="preserve">النبلاء، إلى قصر </w:t>
      </w:r>
      <w:proofErr w:type="spellStart"/>
      <w:r w:rsidRPr="007D6754">
        <w:rPr>
          <w:rFonts w:cs="Arial"/>
          <w:b/>
          <w:bCs/>
          <w:sz w:val="24"/>
          <w:szCs w:val="24"/>
          <w:rtl/>
          <w:lang w:bidi="ar-IQ"/>
        </w:rPr>
        <w:t>التويلري</w:t>
      </w:r>
      <w:proofErr w:type="spellEnd"/>
      <w:r w:rsidRPr="007D6754">
        <w:rPr>
          <w:rFonts w:cs="Arial"/>
          <w:b/>
          <w:bCs/>
          <w:sz w:val="24"/>
          <w:szCs w:val="24"/>
          <w:rtl/>
          <w:lang w:bidi="ar-IQ"/>
        </w:rPr>
        <w:t xml:space="preserve"> في باريس،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 </w:t>
      </w:r>
      <w:r w:rsidRPr="007D6754">
        <w:rPr>
          <w:rFonts w:cs="Arial"/>
          <w:b/>
          <w:bCs/>
          <w:sz w:val="24"/>
          <w:szCs w:val="24"/>
          <w:rtl/>
          <w:lang w:bidi="ar-IQ"/>
        </w:rPr>
        <w:t xml:space="preserve">حاملين أسلحةً 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خفيفة </w:t>
      </w:r>
      <w:r w:rsidRPr="007D6754">
        <w:rPr>
          <w:rFonts w:cs="Arial"/>
          <w:b/>
          <w:bCs/>
          <w:sz w:val="24"/>
          <w:szCs w:val="24"/>
          <w:rtl/>
          <w:lang w:bidi="ar-IQ"/>
        </w:rPr>
        <w:t>كالخناجر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 قاموا بإخفائها في ملابسهم </w:t>
      </w:r>
      <w:r w:rsidRPr="007D6754">
        <w:rPr>
          <w:rFonts w:cs="Arial"/>
          <w:b/>
          <w:bCs/>
          <w:sz w:val="24"/>
          <w:szCs w:val="24"/>
          <w:rtl/>
          <w:lang w:bidi="ar-IQ"/>
        </w:rPr>
        <w:t xml:space="preserve">، للدفاع عن الملك لويس السادس عشر، بينما قاد الماركيز دي </w:t>
      </w:r>
      <w:proofErr w:type="spellStart"/>
      <w:r w:rsidRPr="007D6754">
        <w:rPr>
          <w:rFonts w:cs="Arial"/>
          <w:b/>
          <w:bCs/>
          <w:sz w:val="24"/>
          <w:szCs w:val="24"/>
          <w:rtl/>
          <w:lang w:bidi="ar-IQ"/>
        </w:rPr>
        <w:t>لافاييت</w:t>
      </w:r>
      <w:proofErr w:type="spellEnd"/>
      <w:r w:rsidRPr="007D6754">
        <w:rPr>
          <w:rFonts w:cs="Arial"/>
          <w:b/>
          <w:bCs/>
          <w:sz w:val="24"/>
          <w:szCs w:val="24"/>
          <w:rtl/>
          <w:lang w:bidi="ar-IQ"/>
        </w:rPr>
        <w:t xml:space="preserve"> الحرس الوطني لوقف أعمال </w:t>
      </w:r>
      <w:r>
        <w:rPr>
          <w:rFonts w:cs="Arial" w:hint="cs"/>
          <w:b/>
          <w:bCs/>
          <w:sz w:val="24"/>
          <w:szCs w:val="24"/>
          <w:rtl/>
          <w:lang w:bidi="ar-IQ"/>
        </w:rPr>
        <w:t>ال</w:t>
      </w:r>
      <w:r w:rsidRPr="007D6754">
        <w:rPr>
          <w:rFonts w:cs="Arial"/>
          <w:b/>
          <w:bCs/>
          <w:sz w:val="24"/>
          <w:szCs w:val="24"/>
          <w:rtl/>
          <w:lang w:bidi="ar-IQ"/>
        </w:rPr>
        <w:t>شغب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 والدفاع عن الملك</w:t>
      </w:r>
      <w:r w:rsidRPr="007D6754">
        <w:rPr>
          <w:rFonts w:cs="Arial"/>
          <w:b/>
          <w:bCs/>
          <w:sz w:val="24"/>
          <w:szCs w:val="24"/>
          <w:rtl/>
          <w:lang w:bidi="ar-IQ"/>
        </w:rPr>
        <w:t xml:space="preserve">. اندلعت مواجهة بين الحرس والنبلاء، إذ </w:t>
      </w:r>
      <w:proofErr w:type="spellStart"/>
      <w:r>
        <w:rPr>
          <w:rFonts w:cs="Arial" w:hint="cs"/>
          <w:b/>
          <w:bCs/>
          <w:sz w:val="24"/>
          <w:szCs w:val="24"/>
          <w:rtl/>
          <w:lang w:bidi="ar-IQ"/>
        </w:rPr>
        <w:t>إعتقد</w:t>
      </w:r>
      <w:proofErr w:type="spellEnd"/>
      <w:r w:rsidRPr="007D6754">
        <w:rPr>
          <w:rFonts w:cs="Arial"/>
          <w:b/>
          <w:bCs/>
          <w:sz w:val="24"/>
          <w:szCs w:val="24"/>
          <w:rtl/>
          <w:lang w:bidi="ar-IQ"/>
        </w:rPr>
        <w:t xml:space="preserve"> الحراس أن النبلاء جاؤوا لأخذ الملك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 وتحريره من سلطة </w:t>
      </w:r>
      <w:proofErr w:type="gramStart"/>
      <w:r>
        <w:rPr>
          <w:rFonts w:cs="Arial" w:hint="cs"/>
          <w:b/>
          <w:bCs/>
          <w:sz w:val="24"/>
          <w:szCs w:val="24"/>
          <w:rtl/>
          <w:lang w:bidi="ar-IQ"/>
        </w:rPr>
        <w:t xml:space="preserve">الثورة </w:t>
      </w:r>
      <w:r w:rsidRPr="007D6754">
        <w:rPr>
          <w:rFonts w:cs="Arial"/>
          <w:b/>
          <w:bCs/>
          <w:sz w:val="24"/>
          <w:szCs w:val="24"/>
          <w:rtl/>
          <w:lang w:bidi="ar-IQ"/>
        </w:rPr>
        <w:t>.</w:t>
      </w:r>
      <w:proofErr w:type="gramEnd"/>
      <w:r w:rsidRPr="007D6754">
        <w:rPr>
          <w:rFonts w:cs="Arial"/>
          <w:b/>
          <w:bCs/>
          <w:sz w:val="24"/>
          <w:szCs w:val="24"/>
          <w:rtl/>
          <w:lang w:bidi="ar-IQ"/>
        </w:rPr>
        <w:t xml:space="preserve"> وفي النهاية، أمر الملك النبلاء بتسليم أسلحتهم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 </w:t>
      </w:r>
      <w:proofErr w:type="gramStart"/>
      <w:r>
        <w:rPr>
          <w:rFonts w:cs="Arial" w:hint="cs"/>
          <w:b/>
          <w:bCs/>
          <w:sz w:val="24"/>
          <w:szCs w:val="24"/>
          <w:rtl/>
          <w:lang w:bidi="ar-IQ"/>
        </w:rPr>
        <w:t xml:space="preserve">للحرس </w:t>
      </w:r>
      <w:r w:rsidRPr="007D6754">
        <w:rPr>
          <w:rFonts w:cs="Arial"/>
          <w:b/>
          <w:bCs/>
          <w:sz w:val="24"/>
          <w:szCs w:val="24"/>
          <w:rtl/>
          <w:lang w:bidi="ar-IQ"/>
        </w:rPr>
        <w:t>،</w:t>
      </w:r>
      <w:proofErr w:type="gramEnd"/>
      <w:r w:rsidRPr="007D6754">
        <w:rPr>
          <w:rFonts w:cs="Arial"/>
          <w:b/>
          <w:bCs/>
          <w:sz w:val="24"/>
          <w:szCs w:val="24"/>
          <w:rtl/>
          <w:lang w:bidi="ar-IQ"/>
        </w:rPr>
        <w:t xml:space="preserve"> وأُجبروا على مغادرة القصر.</w:t>
      </w:r>
    </w:p>
    <w:p w14:paraId="068DCB22" w14:textId="3186EE69" w:rsidR="007D6754" w:rsidRDefault="00C2269A" w:rsidP="00C2269A">
      <w:pPr>
        <w:ind w:firstLine="368"/>
        <w:jc w:val="both"/>
        <w:rPr>
          <w:b/>
          <w:bCs/>
          <w:sz w:val="24"/>
          <w:szCs w:val="24"/>
          <w:rtl/>
          <w:lang w:bidi="ar-IQ"/>
        </w:rPr>
      </w:pPr>
      <w:r w:rsidRPr="00C2269A">
        <w:rPr>
          <w:rFonts w:cs="Arial"/>
          <w:b/>
          <w:bCs/>
          <w:sz w:val="24"/>
          <w:szCs w:val="24"/>
          <w:rtl/>
          <w:lang w:bidi="ar-IQ"/>
        </w:rPr>
        <w:t>ساهم</w:t>
      </w:r>
      <w:r>
        <w:rPr>
          <w:rFonts w:cs="Arial" w:hint="cs"/>
          <w:b/>
          <w:bCs/>
          <w:sz w:val="24"/>
          <w:szCs w:val="24"/>
          <w:rtl/>
          <w:lang w:bidi="ar-IQ"/>
        </w:rPr>
        <w:t>ت الفوضى</w:t>
      </w:r>
      <w:r w:rsidRPr="00C2269A">
        <w:rPr>
          <w:rFonts w:cs="Arial"/>
          <w:b/>
          <w:bCs/>
          <w:sz w:val="24"/>
          <w:szCs w:val="24"/>
          <w:rtl/>
          <w:lang w:bidi="ar-IQ"/>
        </w:rPr>
        <w:t xml:space="preserve"> في باريس، </w:t>
      </w:r>
      <w:r>
        <w:rPr>
          <w:rFonts w:cs="Arial" w:hint="cs"/>
          <w:b/>
          <w:bCs/>
          <w:sz w:val="24"/>
          <w:szCs w:val="24"/>
          <w:rtl/>
          <w:lang w:bidi="ar-IQ"/>
        </w:rPr>
        <w:t>بعد قيام الثورة الفرنسية</w:t>
      </w:r>
      <w:r w:rsidRPr="00C2269A">
        <w:rPr>
          <w:rFonts w:cs="Arial"/>
          <w:b/>
          <w:bCs/>
          <w:sz w:val="24"/>
          <w:szCs w:val="24"/>
          <w:rtl/>
          <w:lang w:bidi="ar-IQ"/>
        </w:rPr>
        <w:t xml:space="preserve">، في تزايد أعداد النبلاء </w:t>
      </w:r>
      <w:r>
        <w:rPr>
          <w:rFonts w:cs="Arial" w:hint="cs"/>
          <w:b/>
          <w:bCs/>
          <w:sz w:val="24"/>
          <w:szCs w:val="24"/>
          <w:rtl/>
          <w:lang w:bidi="ar-IQ"/>
        </w:rPr>
        <w:t>الهاربين و</w:t>
      </w:r>
      <w:r w:rsidRPr="00C2269A">
        <w:rPr>
          <w:rFonts w:cs="Arial"/>
          <w:b/>
          <w:bCs/>
          <w:sz w:val="24"/>
          <w:szCs w:val="24"/>
          <w:rtl/>
          <w:lang w:bidi="ar-IQ"/>
        </w:rPr>
        <w:t xml:space="preserve">المهاجرين من المدينة 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الى داخل </w:t>
      </w:r>
      <w:r>
        <w:rPr>
          <w:rFonts w:cs="Arial" w:hint="cs"/>
          <w:b/>
          <w:bCs/>
          <w:sz w:val="24"/>
          <w:szCs w:val="24"/>
          <w:rtl/>
          <w:lang w:bidi="ar-IQ"/>
        </w:rPr>
        <w:t>فرنسا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 وخارجها </w:t>
      </w:r>
      <w:r w:rsidRPr="00C2269A">
        <w:rPr>
          <w:rFonts w:cs="Arial"/>
          <w:b/>
          <w:bCs/>
          <w:sz w:val="24"/>
          <w:szCs w:val="24"/>
          <w:rtl/>
          <w:lang w:bidi="ar-IQ"/>
        </w:rPr>
        <w:t xml:space="preserve">طلبًا للمساعدات الخارجية أو لإشعال تمرد في المقاطعات الجنوبية. ورغم أن هذه الهجرة بدأت </w:t>
      </w:r>
      <w:r>
        <w:rPr>
          <w:rFonts w:cs="Arial" w:hint="cs"/>
          <w:b/>
          <w:bCs/>
          <w:sz w:val="24"/>
          <w:szCs w:val="24"/>
          <w:rtl/>
          <w:lang w:bidi="ar-IQ"/>
        </w:rPr>
        <w:t>أولاً</w:t>
      </w:r>
      <w:r w:rsidRPr="00C2269A">
        <w:rPr>
          <w:rFonts w:cs="Arial"/>
          <w:b/>
          <w:bCs/>
          <w:sz w:val="24"/>
          <w:szCs w:val="24"/>
          <w:rtl/>
          <w:lang w:bidi="ar-IQ"/>
        </w:rPr>
        <w:t xml:space="preserve"> بأفراد من الطبقتين الأولى والثانية (رجال الدين والنبلاء)، إلا أن الهجرة الفرنسية </w:t>
      </w:r>
      <w:r>
        <w:rPr>
          <w:rFonts w:cs="Arial" w:hint="cs"/>
          <w:b/>
          <w:bCs/>
          <w:sz w:val="24"/>
          <w:szCs w:val="24"/>
          <w:rtl/>
          <w:lang w:bidi="ar-IQ"/>
        </w:rPr>
        <w:t>بين عامي</w:t>
      </w:r>
      <w:r w:rsidRPr="00C2269A">
        <w:rPr>
          <w:rFonts w:cs="Arial"/>
          <w:b/>
          <w:bCs/>
          <w:sz w:val="24"/>
          <w:szCs w:val="24"/>
          <w:rtl/>
          <w:lang w:bidi="ar-IQ"/>
        </w:rPr>
        <w:t xml:space="preserve"> (1789-1815) كانت 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عبارة </w:t>
      </w:r>
      <w:r w:rsidRPr="00C2269A">
        <w:rPr>
          <w:rFonts w:cs="Arial"/>
          <w:b/>
          <w:bCs/>
          <w:sz w:val="24"/>
          <w:szCs w:val="24"/>
          <w:rtl/>
          <w:lang w:bidi="ar-IQ"/>
        </w:rPr>
        <w:t xml:space="preserve">حركة جماهيرية لآلاف الفرنسيين من مختلف الطبقات الاجتماعية والاقتصادية. إضافةً إلى ذلك، ورغم أن </w:t>
      </w:r>
      <w:r>
        <w:rPr>
          <w:rFonts w:cs="Arial" w:hint="cs"/>
          <w:b/>
          <w:bCs/>
          <w:sz w:val="24"/>
          <w:szCs w:val="24"/>
          <w:rtl/>
          <w:lang w:bidi="ar-IQ"/>
        </w:rPr>
        <w:t>الفوضى و</w:t>
      </w:r>
      <w:r w:rsidRPr="00C2269A">
        <w:rPr>
          <w:rFonts w:cs="Arial"/>
          <w:b/>
          <w:bCs/>
          <w:sz w:val="24"/>
          <w:szCs w:val="24"/>
          <w:rtl/>
          <w:lang w:bidi="ar-IQ"/>
        </w:rPr>
        <w:t>العنف في باريس شكّل</w:t>
      </w:r>
      <w:r>
        <w:rPr>
          <w:rFonts w:cs="Arial" w:hint="cs"/>
          <w:b/>
          <w:bCs/>
          <w:sz w:val="24"/>
          <w:szCs w:val="24"/>
          <w:rtl/>
          <w:lang w:bidi="ar-IQ"/>
        </w:rPr>
        <w:t>ا</w:t>
      </w:r>
      <w:r w:rsidRPr="00C2269A">
        <w:rPr>
          <w:rFonts w:cs="Arial"/>
          <w:b/>
          <w:bCs/>
          <w:sz w:val="24"/>
          <w:szCs w:val="24"/>
          <w:rtl/>
          <w:lang w:bidi="ar-IQ"/>
        </w:rPr>
        <w:t xml:space="preserve"> سببًا مباشرًا للهجرة، إلا أن العديد من الطبقات العليا اعترضت بشدة على ما أحدثته الثورة من تدهور للنظام القديم، الذي كان يمنح النبلاء امتيازات اعتادوا عليها.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وكان من بين المهاجرين أقارب الملك من الرجال </w:t>
      </w:r>
      <w:proofErr w:type="gramStart"/>
      <w:r>
        <w:rPr>
          <w:rFonts w:hint="cs"/>
          <w:b/>
          <w:bCs/>
          <w:sz w:val="24"/>
          <w:szCs w:val="24"/>
          <w:rtl/>
          <w:lang w:bidi="ar-IQ"/>
        </w:rPr>
        <w:t>والنساء ،</w:t>
      </w:r>
      <w:proofErr w:type="gramEnd"/>
      <w:r>
        <w:rPr>
          <w:rFonts w:hint="cs"/>
          <w:b/>
          <w:bCs/>
          <w:sz w:val="24"/>
          <w:szCs w:val="24"/>
          <w:rtl/>
          <w:lang w:bidi="ar-IQ"/>
        </w:rPr>
        <w:t xml:space="preserve"> لذا ساد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إعتقاد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أن الملك سوف يحاول هو الآخر الهروب متى ما سنحت له الفرصة . </w:t>
      </w:r>
      <w:r w:rsidRPr="00C2269A">
        <w:rPr>
          <w:rFonts w:cs="Arial"/>
          <w:b/>
          <w:bCs/>
          <w:sz w:val="24"/>
          <w:szCs w:val="24"/>
          <w:rtl/>
          <w:lang w:bidi="ar-IQ"/>
        </w:rPr>
        <w:t xml:space="preserve">وخوفًا من مؤامرة </w:t>
      </w:r>
      <w:proofErr w:type="spellStart"/>
      <w:r w:rsidRPr="00C2269A">
        <w:rPr>
          <w:rFonts w:cs="Arial"/>
          <w:b/>
          <w:bCs/>
          <w:sz w:val="24"/>
          <w:szCs w:val="24"/>
          <w:rtl/>
          <w:lang w:bidi="ar-IQ"/>
        </w:rPr>
        <w:t>اليعاقبة</w:t>
      </w:r>
      <w:proofErr w:type="spellEnd"/>
      <w:r w:rsidRPr="00C2269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IQ"/>
        </w:rPr>
        <w:t xml:space="preserve">المتشددين </w:t>
      </w:r>
      <w:r w:rsidRPr="00C2269A">
        <w:rPr>
          <w:rFonts w:cs="Arial"/>
          <w:b/>
          <w:bCs/>
          <w:sz w:val="24"/>
          <w:szCs w:val="24"/>
          <w:rtl/>
          <w:lang w:bidi="ar-IQ"/>
        </w:rPr>
        <w:t xml:space="preserve">لقتل العائلة </w:t>
      </w:r>
      <w:proofErr w:type="gramStart"/>
      <w:r w:rsidRPr="00C2269A">
        <w:rPr>
          <w:rFonts w:cs="Arial"/>
          <w:b/>
          <w:bCs/>
          <w:sz w:val="24"/>
          <w:szCs w:val="24"/>
          <w:rtl/>
          <w:lang w:bidi="ar-IQ"/>
        </w:rPr>
        <w:t>المالكة ،</w:t>
      </w:r>
      <w:proofErr w:type="gramEnd"/>
      <w:r w:rsidRPr="00C2269A">
        <w:rPr>
          <w:rFonts w:cs="Arial"/>
          <w:b/>
          <w:bCs/>
          <w:sz w:val="24"/>
          <w:szCs w:val="24"/>
          <w:rtl/>
          <w:lang w:bidi="ar-IQ"/>
        </w:rPr>
        <w:t xml:space="preserve"> توجه مئات النبلاء الشباب، حاملين أسلحة خفي</w:t>
      </w:r>
      <w:r>
        <w:rPr>
          <w:rFonts w:cs="Arial" w:hint="cs"/>
          <w:b/>
          <w:bCs/>
          <w:sz w:val="24"/>
          <w:szCs w:val="24"/>
          <w:rtl/>
          <w:lang w:bidi="ar-IQ"/>
        </w:rPr>
        <w:t>ف</w:t>
      </w:r>
      <w:r w:rsidRPr="00C2269A">
        <w:rPr>
          <w:rFonts w:cs="Arial"/>
          <w:b/>
          <w:bCs/>
          <w:sz w:val="24"/>
          <w:szCs w:val="24"/>
          <w:rtl/>
          <w:lang w:bidi="ar-IQ"/>
        </w:rPr>
        <w:t xml:space="preserve">ة كالخناجر والسكاكين، إلى قصر </w:t>
      </w:r>
      <w:proofErr w:type="spellStart"/>
      <w:r w:rsidRPr="00C2269A">
        <w:rPr>
          <w:rFonts w:cs="Arial"/>
          <w:b/>
          <w:bCs/>
          <w:sz w:val="24"/>
          <w:szCs w:val="24"/>
          <w:rtl/>
          <w:lang w:bidi="ar-IQ"/>
        </w:rPr>
        <w:t>التويلري</w:t>
      </w:r>
      <w:proofErr w:type="spellEnd"/>
      <w:r w:rsidRPr="00C2269A">
        <w:rPr>
          <w:rFonts w:cs="Arial"/>
          <w:b/>
          <w:bCs/>
          <w:sz w:val="24"/>
          <w:szCs w:val="24"/>
          <w:rtl/>
          <w:lang w:bidi="ar-IQ"/>
        </w:rPr>
        <w:t xml:space="preserve"> للدفاع عن الملك.</w:t>
      </w:r>
    </w:p>
    <w:p w14:paraId="2074FC7A" w14:textId="0742458C" w:rsidR="00855ADA" w:rsidRDefault="00855ADA" w:rsidP="00C2269A">
      <w:pPr>
        <w:ind w:firstLine="368"/>
        <w:jc w:val="both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أدت حادثة 28 شباط 1792 </w:t>
      </w:r>
      <w:r w:rsidRPr="00855ADA">
        <w:rPr>
          <w:rFonts w:cs="Arial"/>
          <w:b/>
          <w:bCs/>
          <w:sz w:val="24"/>
          <w:szCs w:val="24"/>
          <w:rtl/>
          <w:lang w:bidi="ar-IQ"/>
        </w:rPr>
        <w:t xml:space="preserve">إلى </w:t>
      </w:r>
      <w:r>
        <w:rPr>
          <w:rFonts w:cs="Arial" w:hint="cs"/>
          <w:b/>
          <w:bCs/>
          <w:sz w:val="24"/>
          <w:szCs w:val="24"/>
          <w:rtl/>
          <w:lang w:bidi="ar-IQ"/>
        </w:rPr>
        <w:t>شعور المؤيدين للملك بالإذلال والإحباط</w:t>
      </w:r>
      <w:r w:rsidRPr="00855ADA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IQ"/>
        </w:rPr>
        <w:t>بعد أن خاطروا بأرواحهم وجاء</w:t>
      </w:r>
      <w:r w:rsidRPr="00855ADA">
        <w:rPr>
          <w:rFonts w:cs="Arial"/>
          <w:b/>
          <w:bCs/>
          <w:sz w:val="24"/>
          <w:szCs w:val="24"/>
          <w:rtl/>
          <w:lang w:bidi="ar-IQ"/>
        </w:rPr>
        <w:t xml:space="preserve">وا إلى قصر </w:t>
      </w:r>
      <w:proofErr w:type="spellStart"/>
      <w:r w:rsidRPr="00855ADA">
        <w:rPr>
          <w:rFonts w:cs="Arial"/>
          <w:b/>
          <w:bCs/>
          <w:sz w:val="24"/>
          <w:szCs w:val="24"/>
          <w:rtl/>
          <w:lang w:bidi="ar-IQ"/>
        </w:rPr>
        <w:t>التويلري</w:t>
      </w:r>
      <w:proofErr w:type="spellEnd"/>
      <w:r w:rsidRPr="00855ADA">
        <w:rPr>
          <w:rFonts w:cs="Arial"/>
          <w:b/>
          <w:bCs/>
          <w:sz w:val="24"/>
          <w:szCs w:val="24"/>
          <w:rtl/>
          <w:lang w:bidi="ar-IQ"/>
        </w:rPr>
        <w:t xml:space="preserve"> للدفاع عن</w:t>
      </w:r>
      <w:r>
        <w:rPr>
          <w:rFonts w:cs="Arial" w:hint="cs"/>
          <w:b/>
          <w:bCs/>
          <w:sz w:val="24"/>
          <w:szCs w:val="24"/>
          <w:rtl/>
          <w:lang w:bidi="ar-IQ"/>
        </w:rPr>
        <w:t>ه</w:t>
      </w:r>
      <w:r w:rsidR="00CF66CE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="00CF66CE">
        <w:rPr>
          <w:rFonts w:hint="cs"/>
          <w:b/>
          <w:bCs/>
          <w:sz w:val="24"/>
          <w:szCs w:val="24"/>
          <w:rtl/>
          <w:lang w:bidi="ar-IQ"/>
        </w:rPr>
        <w:t xml:space="preserve"> بينما </w:t>
      </w:r>
      <w:proofErr w:type="spellStart"/>
      <w:r w:rsidR="00CF66CE">
        <w:rPr>
          <w:rFonts w:hint="cs"/>
          <w:b/>
          <w:bCs/>
          <w:sz w:val="24"/>
          <w:szCs w:val="24"/>
          <w:rtl/>
          <w:lang w:bidi="ar-IQ"/>
        </w:rPr>
        <w:t>إضطر</w:t>
      </w:r>
      <w:proofErr w:type="spellEnd"/>
      <w:r w:rsidR="00CF66CE">
        <w:rPr>
          <w:rFonts w:hint="cs"/>
          <w:b/>
          <w:bCs/>
          <w:sz w:val="24"/>
          <w:szCs w:val="24"/>
          <w:rtl/>
          <w:lang w:bidi="ar-IQ"/>
        </w:rPr>
        <w:t xml:space="preserve"> الملك بسبب ضغط الحرس الى الطلب من أولئك المؤيدين بتسليم أسلحتهم </w:t>
      </w:r>
      <w:proofErr w:type="spellStart"/>
      <w:r w:rsidR="00CF66CE">
        <w:rPr>
          <w:rFonts w:hint="cs"/>
          <w:b/>
          <w:bCs/>
          <w:sz w:val="24"/>
          <w:szCs w:val="24"/>
          <w:rtl/>
          <w:lang w:bidi="ar-IQ"/>
        </w:rPr>
        <w:t>والإنسحاب</w:t>
      </w:r>
      <w:proofErr w:type="spellEnd"/>
      <w:r w:rsidR="00CF66CE">
        <w:rPr>
          <w:rFonts w:hint="cs"/>
          <w:b/>
          <w:bCs/>
          <w:sz w:val="24"/>
          <w:szCs w:val="24"/>
          <w:rtl/>
          <w:lang w:bidi="ar-IQ"/>
        </w:rPr>
        <w:t xml:space="preserve"> من القصر. لذلك </w:t>
      </w:r>
      <w:r w:rsidR="00CF66CE" w:rsidRPr="00CF66CE">
        <w:rPr>
          <w:rFonts w:cs="Arial"/>
          <w:b/>
          <w:bCs/>
          <w:sz w:val="24"/>
          <w:szCs w:val="24"/>
          <w:rtl/>
          <w:lang w:bidi="ar-IQ"/>
        </w:rPr>
        <w:t>تضاءل احترام الملك لويس السادس عشر وسلطته بسبب أفعاله في ذلك اليوم</w:t>
      </w:r>
      <w:r w:rsidR="00CF66CE">
        <w:rPr>
          <w:rFonts w:cs="Arial" w:hint="cs"/>
          <w:b/>
          <w:bCs/>
          <w:sz w:val="24"/>
          <w:szCs w:val="24"/>
          <w:rtl/>
          <w:lang w:bidi="ar-IQ"/>
        </w:rPr>
        <w:t>،</w:t>
      </w:r>
      <w:r w:rsidR="00CF66CE" w:rsidRPr="00CF66CE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="00CF66CE">
        <w:rPr>
          <w:rFonts w:cs="Arial" w:hint="cs"/>
          <w:b/>
          <w:bCs/>
          <w:sz w:val="24"/>
          <w:szCs w:val="24"/>
          <w:rtl/>
          <w:lang w:bidi="ar-IQ"/>
        </w:rPr>
        <w:t>و</w:t>
      </w:r>
      <w:r w:rsidR="00CF66CE" w:rsidRPr="00CF66CE">
        <w:rPr>
          <w:rFonts w:cs="Arial"/>
          <w:b/>
          <w:bCs/>
          <w:sz w:val="24"/>
          <w:szCs w:val="24"/>
          <w:rtl/>
          <w:lang w:bidi="ar-IQ"/>
        </w:rPr>
        <w:t xml:space="preserve">شعر </w:t>
      </w:r>
      <w:r w:rsidR="00CF66CE">
        <w:rPr>
          <w:rFonts w:cs="Arial" w:hint="cs"/>
          <w:b/>
          <w:bCs/>
          <w:sz w:val="24"/>
          <w:szCs w:val="24"/>
          <w:rtl/>
          <w:lang w:bidi="ar-IQ"/>
        </w:rPr>
        <w:t>مؤيدوه</w:t>
      </w:r>
      <w:r w:rsidR="00CF66CE" w:rsidRPr="00CF66CE">
        <w:rPr>
          <w:rFonts w:cs="Arial"/>
          <w:b/>
          <w:bCs/>
          <w:sz w:val="24"/>
          <w:szCs w:val="24"/>
          <w:rtl/>
          <w:lang w:bidi="ar-IQ"/>
        </w:rPr>
        <w:t xml:space="preserve"> بالخيانة لانحيازه إلى الحرس </w:t>
      </w:r>
      <w:proofErr w:type="gramStart"/>
      <w:r w:rsidR="00CF66CE" w:rsidRPr="00CF66CE">
        <w:rPr>
          <w:rFonts w:cs="Arial"/>
          <w:b/>
          <w:bCs/>
          <w:sz w:val="24"/>
          <w:szCs w:val="24"/>
          <w:rtl/>
          <w:lang w:bidi="ar-IQ"/>
        </w:rPr>
        <w:t>الوطني</w:t>
      </w:r>
      <w:r w:rsidR="00CF66CE">
        <w:rPr>
          <w:rFonts w:hint="cs"/>
          <w:b/>
          <w:bCs/>
          <w:sz w:val="24"/>
          <w:szCs w:val="24"/>
          <w:rtl/>
          <w:lang w:bidi="ar-IQ"/>
        </w:rPr>
        <w:t xml:space="preserve"> ،</w:t>
      </w:r>
      <w:proofErr w:type="gramEnd"/>
      <w:r w:rsidR="00CF66CE">
        <w:rPr>
          <w:rFonts w:hint="cs"/>
          <w:b/>
          <w:bCs/>
          <w:sz w:val="24"/>
          <w:szCs w:val="24"/>
          <w:rtl/>
          <w:lang w:bidi="ar-IQ"/>
        </w:rPr>
        <w:t xml:space="preserve"> ومن الناحية التاريخية </w:t>
      </w:r>
      <w:r w:rsidR="00CF66CE">
        <w:rPr>
          <w:rFonts w:cs="Arial" w:hint="cs"/>
          <w:b/>
          <w:bCs/>
          <w:sz w:val="24"/>
          <w:szCs w:val="24"/>
          <w:rtl/>
          <w:lang w:bidi="ar-IQ"/>
        </w:rPr>
        <w:t xml:space="preserve">يعتقد </w:t>
      </w:r>
      <w:r w:rsidR="00CF66CE" w:rsidRPr="00CF66CE">
        <w:rPr>
          <w:rFonts w:cs="Arial"/>
          <w:b/>
          <w:bCs/>
          <w:sz w:val="24"/>
          <w:szCs w:val="24"/>
          <w:rtl/>
          <w:lang w:bidi="ar-IQ"/>
        </w:rPr>
        <w:t xml:space="preserve">أن </w:t>
      </w:r>
      <w:r w:rsidR="00CF66CE">
        <w:rPr>
          <w:rFonts w:cs="Arial" w:hint="cs"/>
          <w:b/>
          <w:bCs/>
          <w:sz w:val="24"/>
          <w:szCs w:val="24"/>
          <w:rtl/>
          <w:lang w:bidi="ar-IQ"/>
        </w:rPr>
        <w:t>تلك</w:t>
      </w:r>
      <w:r w:rsidR="00CF66CE" w:rsidRPr="00CF66CE">
        <w:rPr>
          <w:rFonts w:cs="Arial"/>
          <w:b/>
          <w:bCs/>
          <w:sz w:val="24"/>
          <w:szCs w:val="24"/>
          <w:rtl/>
          <w:lang w:bidi="ar-IQ"/>
        </w:rPr>
        <w:t xml:space="preserve"> الحادثة ساهمت في ترسيخ قرار الملك با</w:t>
      </w:r>
      <w:r w:rsidR="00CF66CE">
        <w:rPr>
          <w:rFonts w:cs="Arial" w:hint="cs"/>
          <w:b/>
          <w:bCs/>
          <w:sz w:val="24"/>
          <w:szCs w:val="24"/>
          <w:rtl/>
          <w:lang w:bidi="ar-IQ"/>
        </w:rPr>
        <w:t>لهروب</w:t>
      </w:r>
      <w:r w:rsidR="00CF66CE" w:rsidRPr="00CF66CE">
        <w:rPr>
          <w:rFonts w:cs="Arial"/>
          <w:b/>
          <w:bCs/>
          <w:sz w:val="24"/>
          <w:szCs w:val="24"/>
          <w:rtl/>
          <w:lang w:bidi="ar-IQ"/>
        </w:rPr>
        <w:t xml:space="preserve"> من باريس في 20 </w:t>
      </w:r>
      <w:r w:rsidR="00CF66CE">
        <w:rPr>
          <w:rFonts w:cs="Arial" w:hint="cs"/>
          <w:b/>
          <w:bCs/>
          <w:sz w:val="24"/>
          <w:szCs w:val="24"/>
          <w:rtl/>
          <w:lang w:bidi="ar-IQ"/>
        </w:rPr>
        <w:t>تموز</w:t>
      </w:r>
      <w:r w:rsidR="00CF66CE" w:rsidRPr="00CF66CE">
        <w:rPr>
          <w:rFonts w:cs="Arial"/>
          <w:b/>
          <w:bCs/>
          <w:sz w:val="24"/>
          <w:szCs w:val="24"/>
          <w:rtl/>
          <w:lang w:bidi="ar-IQ"/>
        </w:rPr>
        <w:t xml:space="preserve"> 1791 بسبب عدم رضاه عن تراجع سلطته، وزيادة القيود المفروضة عليه، وخلافه مع الجمعية الوطنية حول موضوع </w:t>
      </w:r>
      <w:r w:rsidR="00CF66CE">
        <w:rPr>
          <w:rFonts w:cs="Arial" w:hint="cs"/>
          <w:b/>
          <w:bCs/>
          <w:sz w:val="24"/>
          <w:szCs w:val="24"/>
          <w:rtl/>
          <w:lang w:bidi="ar-IQ"/>
        </w:rPr>
        <w:t>رجال الدين</w:t>
      </w:r>
      <w:r w:rsidR="00CF66CE" w:rsidRPr="00CF66CE">
        <w:rPr>
          <w:rFonts w:cs="Arial"/>
          <w:b/>
          <w:bCs/>
          <w:sz w:val="24"/>
          <w:szCs w:val="24"/>
          <w:rtl/>
          <w:lang w:bidi="ar-IQ"/>
        </w:rPr>
        <w:t xml:space="preserve"> الكاثوليك.</w:t>
      </w:r>
    </w:p>
    <w:p w14:paraId="1472B419" w14:textId="0F73EB51" w:rsidR="00CF66CE" w:rsidRDefault="00CF66CE" w:rsidP="00C2269A">
      <w:pPr>
        <w:ind w:firstLine="368"/>
        <w:jc w:val="both"/>
        <w:rPr>
          <w:b/>
          <w:bCs/>
          <w:sz w:val="24"/>
          <w:szCs w:val="24"/>
          <w:rtl/>
          <w:lang w:bidi="ar-IQ"/>
        </w:rPr>
      </w:pPr>
    </w:p>
    <w:p w14:paraId="6D1739CC" w14:textId="2A554A93" w:rsidR="00CF66CE" w:rsidRDefault="00CF66CE" w:rsidP="00CF66CE">
      <w:pPr>
        <w:ind w:right="426" w:hanging="58"/>
        <w:jc w:val="center"/>
        <w:rPr>
          <w:noProof/>
        </w:rPr>
      </w:pPr>
      <w:r>
        <w:rPr>
          <w:noProof/>
        </w:rPr>
        <w:drawing>
          <wp:inline distT="0" distB="0" distL="0" distR="0" wp14:anchorId="6397BB29" wp14:editId="1B84073F">
            <wp:extent cx="4140000" cy="3234375"/>
            <wp:effectExtent l="0" t="0" r="0" b="444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0" cy="32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AA57F" w14:textId="0A4BC68B" w:rsidR="00CB23B2" w:rsidRDefault="00CB23B2" w:rsidP="00CB23B2">
      <w:pPr>
        <w:rPr>
          <w:noProof/>
          <w:rtl/>
        </w:rPr>
      </w:pPr>
    </w:p>
    <w:p w14:paraId="180C67F7" w14:textId="1225F710" w:rsidR="00CB23B2" w:rsidRPr="00CB23B2" w:rsidRDefault="00CB23B2" w:rsidP="00CB23B2">
      <w:pPr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               </w:t>
      </w:r>
      <w:r w:rsidRPr="00CB23B2">
        <w:rPr>
          <w:rFonts w:hint="cs"/>
          <w:b/>
          <w:bCs/>
          <w:sz w:val="24"/>
          <w:szCs w:val="24"/>
          <w:rtl/>
          <w:lang w:bidi="ar-IQ"/>
        </w:rPr>
        <w:t>لوحة مرسومة توضح إج</w:t>
      </w:r>
      <w:r>
        <w:rPr>
          <w:rFonts w:hint="cs"/>
          <w:b/>
          <w:bCs/>
          <w:sz w:val="24"/>
          <w:szCs w:val="24"/>
          <w:rtl/>
          <w:lang w:bidi="ar-IQ"/>
        </w:rPr>
        <w:t>با</w:t>
      </w:r>
      <w:r w:rsidRPr="00CB23B2">
        <w:rPr>
          <w:rFonts w:hint="cs"/>
          <w:b/>
          <w:bCs/>
          <w:sz w:val="24"/>
          <w:szCs w:val="24"/>
          <w:rtl/>
          <w:lang w:bidi="ar-IQ"/>
        </w:rPr>
        <w:t xml:space="preserve">ر النبلاء على </w:t>
      </w:r>
      <w:r w:rsidRPr="00CB23B2">
        <w:rPr>
          <w:rFonts w:cs="Arial" w:hint="cs"/>
          <w:b/>
          <w:bCs/>
          <w:sz w:val="24"/>
          <w:szCs w:val="24"/>
          <w:rtl/>
          <w:lang w:bidi="ar-IQ"/>
        </w:rPr>
        <w:t>تسليم أسلحتهم</w:t>
      </w:r>
      <w:r w:rsidRPr="00CB23B2">
        <w:rPr>
          <w:rFonts w:cs="Arial"/>
          <w:b/>
          <w:bCs/>
          <w:sz w:val="24"/>
          <w:szCs w:val="24"/>
          <w:rtl/>
          <w:lang w:bidi="ar-IQ"/>
        </w:rPr>
        <w:t xml:space="preserve"> في قصر </w:t>
      </w:r>
      <w:proofErr w:type="spellStart"/>
      <w:r w:rsidRPr="00CB23B2">
        <w:rPr>
          <w:rFonts w:cs="Arial"/>
          <w:b/>
          <w:bCs/>
          <w:sz w:val="24"/>
          <w:szCs w:val="24"/>
          <w:rtl/>
          <w:lang w:bidi="ar-IQ"/>
        </w:rPr>
        <w:t>التويلري</w:t>
      </w:r>
      <w:proofErr w:type="spellEnd"/>
    </w:p>
    <w:sectPr w:rsidR="00CB23B2" w:rsidRPr="00CB23B2" w:rsidSect="00586B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54"/>
    <w:rsid w:val="00586B77"/>
    <w:rsid w:val="007D6754"/>
    <w:rsid w:val="00855ADA"/>
    <w:rsid w:val="00882513"/>
    <w:rsid w:val="00C2269A"/>
    <w:rsid w:val="00CB23B2"/>
    <w:rsid w:val="00C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47249F"/>
  <w15:chartTrackingRefBased/>
  <w15:docId w15:val="{EE70CE3B-8C24-4363-8D55-BAC787EA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2025-10-17T17:47:00Z</dcterms:created>
  <dcterms:modified xsi:type="dcterms:W3CDTF">2025-10-17T19:06:00Z</dcterms:modified>
</cp:coreProperties>
</file>