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57" w:rsidRPr="00A17D57" w:rsidRDefault="00A17D57" w:rsidP="00A17D57">
      <w:pPr>
        <w:rPr>
          <w:rtl/>
          <w:lang w:bidi="ar-IQ"/>
        </w:rPr>
      </w:pPr>
      <w:r w:rsidRPr="00A17D57">
        <w:rPr>
          <w:rFonts w:hint="cs"/>
          <w:rtl/>
          <w:lang w:bidi="ar-IQ"/>
        </w:rPr>
        <w:t>أبنية جموع التكسير</w:t>
      </w:r>
    </w:p>
    <w:p w:rsidR="00A17D57" w:rsidRPr="00A17D57" w:rsidRDefault="00A17D57" w:rsidP="00A17D57">
      <w:pPr>
        <w:rPr>
          <w:rtl/>
          <w:lang w:bidi="ar-IQ"/>
        </w:rPr>
      </w:pP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الجمع ، لغةً ، :  تأليف المُتفرِّق ، وهو ضمُّ الشيء بتقريب بعضه من بعض ، يُقال: (جمعته فاجتمع)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1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 xml:space="preserve"> أمّا في الاصطلاح فهو ما دلَّ على ثلاثةٍ أو أكثر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2"/>
      </w:r>
      <w:r w:rsidRPr="00A17D57">
        <w:rPr>
          <w:vertAlign w:val="superscript"/>
          <w:rtl/>
          <w:lang w:bidi="ar-IQ"/>
        </w:rPr>
        <w:t xml:space="preserve">) </w:t>
      </w:r>
      <w:r w:rsidRPr="00A17D57">
        <w:rPr>
          <w:rFonts w:hint="cs"/>
          <w:rtl/>
          <w:lang w:bidi="ar-IQ"/>
        </w:rPr>
        <w:t>،</w:t>
      </w:r>
      <w:r w:rsidRPr="00A17D57">
        <w:rPr>
          <w:rtl/>
          <w:lang w:bidi="ar-IQ"/>
        </w:rPr>
        <w:t xml:space="preserve"> وهو على نوعَين :</w:t>
      </w:r>
    </w:p>
    <w:p w:rsidR="00A17D57" w:rsidRPr="00A17D57" w:rsidRDefault="00A17D57" w:rsidP="00A17D57">
      <w:pPr>
        <w:rPr>
          <w:rtl/>
          <w:lang w:bidi="ar-IQ"/>
        </w:rPr>
      </w:pP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Fonts w:hint="cs"/>
          <w:rtl/>
          <w:lang w:bidi="ar-IQ"/>
        </w:rPr>
        <w:t xml:space="preserve">1_ </w:t>
      </w:r>
      <w:r w:rsidRPr="00A17D57">
        <w:rPr>
          <w:rtl/>
          <w:lang w:bidi="ar-IQ"/>
        </w:rPr>
        <w:t>جمع التصحيح :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 وهو ما سلِم فيه بناء مفرده عند الجمع ، وهو على قسمَين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3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>:</w:t>
      </w:r>
    </w:p>
    <w:p w:rsidR="00A17D57" w:rsidRPr="00A17D57" w:rsidRDefault="00A17D57" w:rsidP="00A17D57">
      <w:pPr>
        <w:numPr>
          <w:ilvl w:val="0"/>
          <w:numId w:val="1"/>
        </w:numPr>
      </w:pPr>
      <w:r w:rsidRPr="00A17D57">
        <w:rPr>
          <w:rtl/>
          <w:lang w:bidi="ar-IQ"/>
        </w:rPr>
        <w:t xml:space="preserve">جمع المُذكَّر السالم : وهو عند النحويِّين ما دلَّ على أكثر من اثنَين ، وعند اللغويِّين </w:t>
      </w:r>
      <w:proofErr w:type="spellStart"/>
      <w:r w:rsidRPr="00A17D57">
        <w:rPr>
          <w:rtl/>
          <w:lang w:bidi="ar-IQ"/>
        </w:rPr>
        <w:t>مادلَّ</w:t>
      </w:r>
      <w:proofErr w:type="spellEnd"/>
      <w:r w:rsidRPr="00A17D57">
        <w:rPr>
          <w:rtl/>
          <w:lang w:bidi="ar-IQ"/>
        </w:rPr>
        <w:t xml:space="preserve"> على اثنَين أو أكثر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4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>، ويكون الجمعُ بزيادة (واو) و (نون) على مفرده في حالة الرفع ، و(ياء) و(نون) في حالَتَي النصب والجرِّ.</w:t>
      </w:r>
    </w:p>
    <w:p w:rsidR="00A17D57" w:rsidRPr="00A17D57" w:rsidRDefault="00A17D57" w:rsidP="00A17D57">
      <w:pPr>
        <w:numPr>
          <w:ilvl w:val="0"/>
          <w:numId w:val="1"/>
        </w:numPr>
      </w:pPr>
      <w:r w:rsidRPr="00A17D57">
        <w:rPr>
          <w:rtl/>
          <w:lang w:bidi="ar-IQ"/>
        </w:rPr>
        <w:t>جمع المُؤنَّث السالم : ويكون بزيادة (الألف) و(التاء) على مفرده في جميع حالاته، ومن العلماء من يُسمِّيه (ما جُمِع بالألف والتاء) ؛ لأنَّه ليس مُختصًّا بالمفرد المُؤنَّث ، إذ قد يُجمَع المُذكَّر عليه ، نحو قولنا في جمع (حمزة) : (</w:t>
      </w:r>
      <w:proofErr w:type="spellStart"/>
      <w:r w:rsidRPr="00A17D57">
        <w:rPr>
          <w:rtl/>
          <w:lang w:bidi="ar-IQ"/>
        </w:rPr>
        <w:t>حمزات</w:t>
      </w:r>
      <w:proofErr w:type="spellEnd"/>
      <w:r w:rsidRPr="00A17D57">
        <w:rPr>
          <w:rtl/>
          <w:lang w:bidi="ar-IQ"/>
        </w:rPr>
        <w:t xml:space="preserve">)، وكذلك يُجمَع المُذكَّر غير العاقل نحو جمع (حَمَّام) على (حَمَّامات)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5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>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   </w:t>
      </w:r>
      <w:r w:rsidRPr="00A17D57">
        <w:rPr>
          <w:rtl/>
          <w:lang w:bidi="ar-IQ"/>
        </w:rPr>
        <w:tab/>
        <w:t xml:space="preserve">ويرى سيبويهِ أنَّ الجمع السالم بنوعَيه يُفيد القلَّة ، فنوعاه يدلاّن في الغالب على عدد قليل لا ينقص عن ثلاثة ، ولا يزيد على عشرة ، فهما كجُموع القلَّة الّتي للتكسير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6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 xml:space="preserve">، ويرى بعض المُحدَثين أنَّ دلالته على القلَّة ليست مُطَّردةً في جمع الصفات ، ولا أصلًا ، وإنَّما الأصل فيه دلالته على الحدث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7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>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ab/>
        <w:t xml:space="preserve"> 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Fonts w:hint="cs"/>
          <w:rtl/>
          <w:lang w:bidi="ar-IQ"/>
        </w:rPr>
        <w:t xml:space="preserve">2_ </w:t>
      </w:r>
      <w:r w:rsidRPr="00A17D57">
        <w:rPr>
          <w:rtl/>
          <w:lang w:bidi="ar-IQ"/>
        </w:rPr>
        <w:t xml:space="preserve">جمع التكسير : 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وهو " ما دلَّ على ثلاثة أو أكثر بتغيير صورة مفردة تغييرًا مقدَّرًا أو ظاهرًا "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8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 xml:space="preserve"> ، والتغيير التقديريُّ يكون في نحو قولك " (فُلْك) بضمِّ الفاء وسكون اللام للمفرد والجمع ، فتكون زنة المفرد كزنة (قُفْل) وتكون زنة الجمع كزنة (أُسْد) جمع أسد..."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9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 xml:space="preserve"> ، أمّا التغيير الظاهريُّ فعلى ستَّة أقسام </w:t>
      </w:r>
      <w:r w:rsidRPr="00A17D57">
        <w:rPr>
          <w:vertAlign w:val="superscript"/>
          <w:rtl/>
          <w:lang w:bidi="ar-IQ"/>
        </w:rPr>
        <w:t>(</w:t>
      </w:r>
      <w:r w:rsidRPr="00A17D57">
        <w:rPr>
          <w:vertAlign w:val="superscript"/>
          <w:rtl/>
          <w:lang w:bidi="ar-IQ"/>
        </w:rPr>
        <w:footnoteReference w:id="10"/>
      </w:r>
      <w:r w:rsidRPr="00A17D57">
        <w:rPr>
          <w:vertAlign w:val="superscript"/>
          <w:rtl/>
          <w:lang w:bidi="ar-IQ"/>
        </w:rPr>
        <w:t>)</w:t>
      </w:r>
      <w:r w:rsidRPr="00A17D57">
        <w:rPr>
          <w:rtl/>
          <w:lang w:bidi="ar-IQ"/>
        </w:rPr>
        <w:t xml:space="preserve"> :</w:t>
      </w:r>
    </w:p>
    <w:p w:rsidR="00A17D57" w:rsidRPr="00A17D57" w:rsidRDefault="00A17D57" w:rsidP="00A17D57">
      <w:pPr>
        <w:numPr>
          <w:ilvl w:val="0"/>
          <w:numId w:val="2"/>
        </w:numPr>
        <w:rPr>
          <w:rtl/>
          <w:lang w:bidi="ar-IQ"/>
        </w:rPr>
      </w:pPr>
      <w:r w:rsidRPr="00A17D57">
        <w:rPr>
          <w:rtl/>
          <w:lang w:bidi="ar-IQ"/>
        </w:rPr>
        <w:t>الزيادة ، مثل</w:t>
      </w:r>
      <w:r w:rsidRPr="00A17D57">
        <w:rPr>
          <w:rFonts w:hint="cs"/>
          <w:rtl/>
          <w:lang w:bidi="ar-IQ"/>
        </w:rPr>
        <w:t xml:space="preserve"> :</w:t>
      </w:r>
      <w:r w:rsidRPr="00A17D57">
        <w:rPr>
          <w:rtl/>
          <w:lang w:bidi="ar-IQ"/>
        </w:rPr>
        <w:t xml:space="preserve"> ( صِنْو وصِنْوان).</w:t>
      </w:r>
    </w:p>
    <w:p w:rsidR="00A17D57" w:rsidRPr="00A17D57" w:rsidRDefault="00A17D57" w:rsidP="00A17D57">
      <w:pPr>
        <w:numPr>
          <w:ilvl w:val="0"/>
          <w:numId w:val="2"/>
        </w:numPr>
        <w:rPr>
          <w:rtl/>
          <w:lang w:bidi="ar-IQ"/>
        </w:rPr>
      </w:pPr>
      <w:r w:rsidRPr="00A17D57">
        <w:rPr>
          <w:rtl/>
          <w:lang w:bidi="ar-IQ"/>
        </w:rPr>
        <w:t>النقص ، مثل</w:t>
      </w:r>
      <w:r w:rsidRPr="00A17D57">
        <w:rPr>
          <w:rFonts w:hint="cs"/>
          <w:rtl/>
          <w:lang w:bidi="ar-IQ"/>
        </w:rPr>
        <w:t xml:space="preserve"> :</w:t>
      </w:r>
      <w:r w:rsidRPr="00A17D57">
        <w:rPr>
          <w:rtl/>
          <w:lang w:bidi="ar-IQ"/>
        </w:rPr>
        <w:t xml:space="preserve"> (تُهْمَة وتُهَم).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ت-    تبديل الشكلّ ، مثل</w:t>
      </w:r>
      <w:r w:rsidRPr="00A17D57">
        <w:rPr>
          <w:rFonts w:hint="cs"/>
          <w:rtl/>
          <w:lang w:bidi="ar-IQ"/>
        </w:rPr>
        <w:t xml:space="preserve"> :</w:t>
      </w:r>
      <w:r w:rsidRPr="00A17D57">
        <w:rPr>
          <w:rtl/>
          <w:lang w:bidi="ar-IQ"/>
        </w:rPr>
        <w:t xml:space="preserve"> ( أَسَد وأُسْد).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ث-    الزيادة والاختلاف ، مثل </w:t>
      </w:r>
      <w:r w:rsidRPr="00A17D57">
        <w:rPr>
          <w:rFonts w:hint="cs"/>
          <w:rtl/>
          <w:lang w:bidi="ar-IQ"/>
        </w:rPr>
        <w:t xml:space="preserve">: </w:t>
      </w:r>
      <w:r w:rsidRPr="00A17D57">
        <w:rPr>
          <w:rtl/>
          <w:lang w:bidi="ar-IQ"/>
        </w:rPr>
        <w:t>(رَجُل ورِجال).</w:t>
      </w:r>
    </w:p>
    <w:p w:rsidR="00A17D57" w:rsidRPr="00A17D57" w:rsidRDefault="00A17D57" w:rsidP="00A17D57">
      <w:pPr>
        <w:numPr>
          <w:ilvl w:val="0"/>
          <w:numId w:val="2"/>
        </w:numPr>
        <w:rPr>
          <w:rtl/>
          <w:lang w:bidi="ar-IQ"/>
        </w:rPr>
      </w:pPr>
      <w:r w:rsidRPr="00A17D57">
        <w:rPr>
          <w:rtl/>
          <w:lang w:bidi="ar-IQ"/>
        </w:rPr>
        <w:t xml:space="preserve">النقص والاختلاف ، مثل </w:t>
      </w:r>
      <w:r w:rsidRPr="00A17D57">
        <w:rPr>
          <w:rFonts w:hint="cs"/>
          <w:rtl/>
          <w:lang w:bidi="ar-IQ"/>
        </w:rPr>
        <w:t xml:space="preserve">: </w:t>
      </w:r>
      <w:r w:rsidRPr="00A17D57">
        <w:rPr>
          <w:rtl/>
          <w:lang w:bidi="ar-IQ"/>
        </w:rPr>
        <w:t>(رَسول ورُسُل).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ح-    الزيادة والنقص والاختلاف ، مثل </w:t>
      </w:r>
      <w:r w:rsidRPr="00A17D57">
        <w:rPr>
          <w:rFonts w:hint="cs"/>
          <w:rtl/>
          <w:lang w:bidi="ar-IQ"/>
        </w:rPr>
        <w:t xml:space="preserve">: </w:t>
      </w:r>
      <w:r w:rsidRPr="00A17D57">
        <w:rPr>
          <w:rtl/>
          <w:lang w:bidi="ar-IQ"/>
        </w:rPr>
        <w:t>(غُلام وغِلْمان).</w:t>
      </w:r>
    </w:p>
    <w:p w:rsidR="00A17D57" w:rsidRPr="00A17D57" w:rsidRDefault="00A17D57" w:rsidP="00A17D57">
      <w:pPr>
        <w:rPr>
          <w:rtl/>
          <w:lang w:bidi="ar-IQ"/>
        </w:rPr>
      </w:pP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Fonts w:hint="cs"/>
          <w:rtl/>
          <w:lang w:bidi="ar-IQ"/>
        </w:rPr>
        <w:t xml:space="preserve">نوعاه : 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جموع التكسير على </w:t>
      </w:r>
      <w:r w:rsidRPr="00A17D57">
        <w:rPr>
          <w:rFonts w:hint="cs"/>
          <w:rtl/>
          <w:lang w:bidi="ar-IQ"/>
        </w:rPr>
        <w:t xml:space="preserve">نوعين </w:t>
      </w:r>
      <w:r w:rsidRPr="00A17D57">
        <w:rPr>
          <w:rtl/>
          <w:lang w:bidi="ar-IQ"/>
        </w:rPr>
        <w:t xml:space="preserve">: 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جموع القلّة</w:t>
      </w:r>
      <w:r w:rsidRPr="00A17D57">
        <w:rPr>
          <w:rFonts w:hint="cs"/>
          <w:rtl/>
          <w:lang w:bidi="ar-IQ"/>
        </w:rPr>
        <w:t xml:space="preserve"> .</w:t>
      </w:r>
      <w:r w:rsidRPr="00A17D57">
        <w:rPr>
          <w:rtl/>
          <w:lang w:bidi="ar-IQ"/>
        </w:rPr>
        <w:t xml:space="preserve">  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جموع الكثرة.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Fonts w:hint="cs"/>
          <w:rtl/>
          <w:lang w:bidi="ar-IQ"/>
        </w:rPr>
        <w:t xml:space="preserve">أولا : </w:t>
      </w:r>
      <w:r w:rsidRPr="00A17D57">
        <w:rPr>
          <w:rtl/>
          <w:lang w:bidi="ar-IQ"/>
        </w:rPr>
        <w:t>أبنية جموع القلّة :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أبنية لعدد لا يقلّ عن ثلاثة ولا يزيد على عشرة</w:t>
      </w:r>
      <w:r w:rsidRPr="00A17D57">
        <w:rPr>
          <w:rFonts w:hint="cs"/>
          <w:rtl/>
          <w:lang w:bidi="ar-IQ"/>
        </w:rPr>
        <w:t xml:space="preserve"> 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أَفْعُل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 ويطّرد هذا البناء في: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1ـ الاسم الثلاثي الصحيح الفاء والعين على وزن (فَعْل)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ولم يُضاعف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نحو: (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فَحْل ـ أفْحُل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بَحْر ـ أبْحُر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نَجْم ـ أنْجُم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نَهْر ـ أنْهُر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وشذّ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( وَجْه ـ أوْجُه ، كفّ ـ أك</w:t>
      </w:r>
      <w:r w:rsidRPr="00A17D57">
        <w:rPr>
          <w:rFonts w:hint="cs"/>
          <w:rtl/>
          <w:lang w:bidi="ar-IQ"/>
        </w:rPr>
        <w:t>ُ</w:t>
      </w:r>
      <w:r w:rsidRPr="00A17D57">
        <w:rPr>
          <w:rtl/>
          <w:lang w:bidi="ar-IQ"/>
        </w:rPr>
        <w:t>فّ ، عَيْن ـ أعيُن ، ثوب ـ أثوُب 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2ـ الاسم الرباعي المؤنّث بلا علامة وقبل آخره مدّ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نحو: ( ذِراع ـ أذرُع ، يمين ـ أيمُن ، شمال ـ أشمُل ، ثمود ـ أثمُد 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أفعال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 ويكون جمعًا لما لم يطّرد فيه (أفعُل) لما كان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1ـ معتلّ الفاء مثل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( وقت ـ أوقات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وصف ـ أوصاف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وزن ـ أوزان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2ـ مضعّفًا مثل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( عمّ ـ أعمام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حيّ ـ أحياء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ربّ ـ أرباب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جدّ ـ أجداد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3ـ معتلّ العين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مثل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 ( باب ـ أبواب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مال ـ أموال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قوم ـ أقوام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يوم ـ أيّام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4ـ كل اسم ثلاثي لم يرد على وزن (فَعْل)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مثل :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(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ثُقْل ـ أثقال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جِسْم ـ أجسام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أثَر ـ آثار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ملاحظة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 قد يرد ما اطّرد فيه (أفعُل) على (أفعال) بكثرة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مثل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 xml:space="preserve">: 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( فَرْخ ـ أفراخ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حَمْل ـ أحمال ، فَرْد ـ أفراد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لَحْن ـ ألحان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ألْف ـ آلاف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proofErr w:type="spellStart"/>
      <w:r w:rsidRPr="00A17D57">
        <w:rPr>
          <w:rtl/>
          <w:lang w:bidi="ar-IQ"/>
        </w:rPr>
        <w:t>أَفْعِلَة</w:t>
      </w:r>
      <w:proofErr w:type="spellEnd"/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 ويطّرد في الاسم المذكّر الرباعي قبل آخره حرف مدّ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مثل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 ( طعام ـ أطعمة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رغيف ـ أرغفة ، قميص ـ أقمصة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زمان ـ أزمنة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سنان ـ أسّنة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بناء ـ أبنية ، إناء ـ آنِية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>فِعْلَة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 لم يطّرد هذا البناء في شيء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وقد سُمِعت فيه ألفاظ هي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:</w:t>
      </w:r>
    </w:p>
    <w:p w:rsidR="00A17D57" w:rsidRPr="00A17D57" w:rsidRDefault="00A17D57" w:rsidP="00A17D57">
      <w:pPr>
        <w:rPr>
          <w:rtl/>
          <w:lang w:bidi="ar-IQ"/>
        </w:rPr>
      </w:pPr>
      <w:r w:rsidRPr="00A17D57">
        <w:rPr>
          <w:rtl/>
          <w:lang w:bidi="ar-IQ"/>
        </w:rPr>
        <w:t xml:space="preserve"> ( شيخ ـ شِيخة ، جار ـ جِيرة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أخ ـ إِخْوَة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صبيّ ـ صِبْية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، عليّ ـ عِلية</w:t>
      </w:r>
      <w:r w:rsidRPr="00A17D57">
        <w:rPr>
          <w:rFonts w:hint="cs"/>
          <w:rtl/>
          <w:lang w:bidi="ar-IQ"/>
        </w:rPr>
        <w:t xml:space="preserve"> </w:t>
      </w:r>
      <w:r w:rsidRPr="00A17D57">
        <w:rPr>
          <w:rtl/>
          <w:lang w:bidi="ar-IQ"/>
        </w:rPr>
        <w:t>).</w:t>
      </w: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9E" w:rsidRDefault="0003249E" w:rsidP="00A17D57">
      <w:pPr>
        <w:spacing w:after="0" w:line="240" w:lineRule="auto"/>
      </w:pPr>
      <w:r>
        <w:separator/>
      </w:r>
    </w:p>
  </w:endnote>
  <w:endnote w:type="continuationSeparator" w:id="0">
    <w:p w:rsidR="0003249E" w:rsidRDefault="0003249E" w:rsidP="00A1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9E" w:rsidRDefault="0003249E" w:rsidP="00A17D57">
      <w:pPr>
        <w:spacing w:after="0" w:line="240" w:lineRule="auto"/>
      </w:pPr>
      <w:r>
        <w:separator/>
      </w:r>
    </w:p>
  </w:footnote>
  <w:footnote w:type="continuationSeparator" w:id="0">
    <w:p w:rsidR="0003249E" w:rsidRDefault="0003249E" w:rsidP="00A17D57">
      <w:pPr>
        <w:spacing w:after="0" w:line="240" w:lineRule="auto"/>
      </w:pPr>
      <w:r>
        <w:continuationSeparator/>
      </w:r>
    </w:p>
  </w:footnote>
  <w:footnote w:id="1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تاج العروس : (جمع).</w:t>
      </w:r>
    </w:p>
  </w:footnote>
  <w:footnote w:id="2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تصريف الأسماء : 192.</w:t>
      </w:r>
    </w:p>
  </w:footnote>
  <w:footnote w:id="3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شرح المُفصَّل : 5/361.</w:t>
      </w:r>
    </w:p>
  </w:footnote>
  <w:footnote w:id="4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جُموع التصحيح والتكسير في العربية : 7-8.</w:t>
      </w:r>
    </w:p>
  </w:footnote>
  <w:footnote w:id="5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شرح قطر الندى وبلّ الصدى : 50-51.</w:t>
      </w:r>
    </w:p>
  </w:footnote>
  <w:footnote w:id="6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 : الكتاب : 2/181-183.</w:t>
      </w:r>
    </w:p>
  </w:footnote>
  <w:footnote w:id="7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معاني الأبنية : 144.</w:t>
      </w:r>
    </w:p>
  </w:footnote>
  <w:footnote w:id="8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</w:rPr>
        <w:t>المُهذَّب في علم التصريف : 178.</w:t>
      </w:r>
    </w:p>
  </w:footnote>
  <w:footnote w:id="9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المصدر نفسه : 179.</w:t>
      </w:r>
    </w:p>
  </w:footnote>
  <w:footnote w:id="10">
    <w:p w:rsidR="00A17D57" w:rsidRPr="00D24F89" w:rsidRDefault="00A17D57" w:rsidP="00A17D57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شرح الأشمونيّ : 4/87.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26C5"/>
    <w:multiLevelType w:val="hybridMultilevel"/>
    <w:tmpl w:val="528E8162"/>
    <w:lvl w:ilvl="0" w:tplc="05C82C92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C43825"/>
    <w:multiLevelType w:val="hybridMultilevel"/>
    <w:tmpl w:val="90B05C96"/>
    <w:lvl w:ilvl="0" w:tplc="59C2F2A6">
      <w:start w:val="1"/>
      <w:numFmt w:val="arabicAbjad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57"/>
    <w:rsid w:val="0003249E"/>
    <w:rsid w:val="00376DCA"/>
    <w:rsid w:val="0090119D"/>
    <w:rsid w:val="00A1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17D5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17D57"/>
    <w:rPr>
      <w:sz w:val="20"/>
      <w:szCs w:val="20"/>
    </w:rPr>
  </w:style>
  <w:style w:type="character" w:styleId="a4">
    <w:name w:val="footnote reference"/>
    <w:basedOn w:val="a0"/>
    <w:semiHidden/>
    <w:rsid w:val="00A17D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17D5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17D57"/>
    <w:rPr>
      <w:sz w:val="20"/>
      <w:szCs w:val="20"/>
    </w:rPr>
  </w:style>
  <w:style w:type="character" w:styleId="a4">
    <w:name w:val="footnote reference"/>
    <w:basedOn w:val="a0"/>
    <w:semiHidden/>
    <w:rsid w:val="00A17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2018-01-16T07:04:00Z</dcterms:created>
  <dcterms:modified xsi:type="dcterms:W3CDTF">2018-01-16T07:04:00Z</dcterms:modified>
</cp:coreProperties>
</file>