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ــــــــــــــــــــــــــــــــــــــــــــــــــــــــــــــــــــــــــــــــــــــــــــــ</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rtl/>
          <w:lang w:bidi="ar-IQ"/>
        </w:rPr>
        <w:t>(</w:t>
      </w:r>
      <w:r w:rsidRPr="009275B4">
        <w:rPr>
          <w:rFonts w:ascii="Traditional Arabic" w:hAnsi="Traditional Arabic"/>
          <w:rtl/>
          <w:lang w:bidi="ar-IQ"/>
        </w:rPr>
        <w:t>1) سنن أبي داود</w:t>
      </w:r>
      <w:r w:rsidRPr="009275B4">
        <w:rPr>
          <w:rFonts w:ascii="Traditional Arabic" w:hAnsi="Traditional Arabic" w:hint="cs"/>
          <w:rtl/>
          <w:lang w:bidi="ar-IQ"/>
        </w:rPr>
        <w:t xml:space="preserve">، أبو داود السجستانيّ: </w:t>
      </w:r>
      <w:r w:rsidRPr="009275B4">
        <w:rPr>
          <w:rFonts w:ascii="Traditional Arabic" w:hAnsi="Traditional Arabic"/>
          <w:rtl/>
          <w:lang w:bidi="ar-IQ"/>
        </w:rPr>
        <w:t>2/262</w:t>
      </w:r>
      <w:r w:rsidRPr="009275B4">
        <w:rPr>
          <w:rFonts w:ascii="Traditional Arabic" w:hAnsi="Traditional Arabic" w:hint="cs"/>
          <w:rtl/>
          <w:lang w:bidi="ar-IQ"/>
        </w:rPr>
        <w:t>، كتاب (الطلاق)، باب (</w:t>
      </w:r>
      <w:r w:rsidRPr="009275B4">
        <w:rPr>
          <w:rFonts w:ascii="Traditional Arabic" w:hAnsi="Traditional Arabic"/>
          <w:rtl/>
          <w:lang w:bidi="ar-IQ"/>
        </w:rPr>
        <w:t>ف</w:t>
      </w:r>
      <w:r w:rsidRPr="009275B4">
        <w:rPr>
          <w:rFonts w:ascii="Traditional Arabic" w:hAnsi="Traditional Arabic" w:hint="cs"/>
          <w:rtl/>
          <w:lang w:bidi="ar-IQ"/>
        </w:rPr>
        <w:t>يم</w:t>
      </w:r>
      <w:r w:rsidRPr="009275B4">
        <w:rPr>
          <w:rFonts w:ascii="Traditional Arabic" w:hAnsi="Traditional Arabic"/>
          <w:rtl/>
          <w:lang w:bidi="ar-IQ"/>
        </w:rPr>
        <w:t>ا ع</w:t>
      </w:r>
      <w:r w:rsidRPr="009275B4">
        <w:rPr>
          <w:rFonts w:ascii="Traditional Arabic" w:hAnsi="Traditional Arabic" w:hint="cs"/>
          <w:rtl/>
          <w:lang w:bidi="ar-IQ"/>
        </w:rPr>
        <w:t>ُن</w:t>
      </w:r>
      <w:r w:rsidRPr="009275B4">
        <w:rPr>
          <w:rFonts w:ascii="Traditional Arabic" w:hAnsi="Traditional Arabic"/>
          <w:rtl/>
          <w:lang w:bidi="ar-IQ"/>
        </w:rPr>
        <w:t>ي به الطلاق والنيّات</w:t>
      </w:r>
      <w:r w:rsidRPr="009275B4">
        <w:rPr>
          <w:rFonts w:ascii="Traditional Arabic" w:hAnsi="Traditional Arabic" w:hint="cs"/>
          <w:rtl/>
          <w:lang w:bidi="ar-IQ"/>
        </w:rPr>
        <w:t>)، رقم: (</w:t>
      </w:r>
      <w:r w:rsidRPr="009275B4">
        <w:rPr>
          <w:rFonts w:ascii="Traditional Arabic" w:hAnsi="Traditional Arabic"/>
          <w:rtl/>
          <w:lang w:bidi="ar-IQ"/>
        </w:rPr>
        <w:t>2201</w:t>
      </w:r>
      <w:r w:rsidRPr="009275B4">
        <w:rPr>
          <w:rFonts w:ascii="Traditional Arabic" w:hAnsi="Traditional Arabic" w:hint="cs"/>
          <w:rtl/>
          <w:lang w:bidi="ar-IQ"/>
        </w:rPr>
        <w:t>).</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 xml:space="preserve">بعض كتب الحديث لا تُقسَّم على كتب وأبواب، مثل (مسند أحمد)، فالتخريج يكون كما في المثال الآتي: </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rtl/>
          <w:lang w:bidi="ar-IQ"/>
        </w:rPr>
        <w:t xml:space="preserve">(1) </w:t>
      </w:r>
      <w:r w:rsidRPr="009275B4">
        <w:rPr>
          <w:rFonts w:ascii="Traditional Arabic" w:hAnsi="Traditional Arabic"/>
          <w:rtl/>
          <w:lang w:bidi="ar-IQ"/>
        </w:rPr>
        <w:t>مسند أحمد</w:t>
      </w:r>
      <w:r w:rsidRPr="009275B4">
        <w:rPr>
          <w:rFonts w:ascii="Traditional Arabic" w:hAnsi="Traditional Arabic" w:hint="cs"/>
          <w:rtl/>
          <w:lang w:bidi="ar-IQ"/>
        </w:rPr>
        <w:t xml:space="preserve">: </w:t>
      </w:r>
      <w:r w:rsidRPr="009275B4">
        <w:rPr>
          <w:rFonts w:ascii="Traditional Arabic" w:hAnsi="Traditional Arabic"/>
          <w:rtl/>
          <w:lang w:bidi="ar-IQ"/>
        </w:rPr>
        <w:t>19/1</w:t>
      </w:r>
      <w:r w:rsidRPr="009275B4">
        <w:rPr>
          <w:rFonts w:ascii="Traditional Arabic" w:hAnsi="Traditional Arabic" w:hint="cs"/>
          <w:rtl/>
          <w:lang w:bidi="ar-IQ"/>
        </w:rPr>
        <w:t>1، رقم: (</w:t>
      </w:r>
      <w:r w:rsidRPr="009275B4">
        <w:rPr>
          <w:rFonts w:ascii="Traditional Arabic" w:hAnsi="Traditional Arabic"/>
          <w:rtl/>
          <w:lang w:bidi="ar-IQ"/>
        </w:rPr>
        <w:t>11944</w:t>
      </w:r>
      <w:r w:rsidRPr="009275B4">
        <w:rPr>
          <w:rFonts w:ascii="Traditional Arabic" w:hAnsi="Traditional Arabic" w:hint="cs"/>
          <w:rtl/>
          <w:lang w:bidi="ar-IQ"/>
        </w:rPr>
        <w:t>).</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إذا اشتمل المتن على قراءة قرآنيّة، فلا بدّ من تخريجها في الهامش، ونسبتها إلى القرّاء الذين نُسبت إليهم في كتب القراءات، كما في المثال الآتي:</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rtl/>
          <w:lang w:bidi="ar-IQ"/>
        </w:rPr>
        <w:t xml:space="preserve">(1) </w:t>
      </w:r>
      <w:r w:rsidRPr="009275B4">
        <w:rPr>
          <w:rFonts w:ascii="Traditional Arabic" w:hAnsi="Traditional Arabic"/>
          <w:rtl/>
          <w:lang w:bidi="ar-IQ"/>
        </w:rPr>
        <w:t>قرأ ابن عامر، وعاصم، وحمزة، والكسائي</w:t>
      </w:r>
      <w:r w:rsidRPr="009275B4">
        <w:rPr>
          <w:rFonts w:ascii="Traditional Arabic" w:hAnsi="Traditional Arabic" w:hint="cs"/>
          <w:rtl/>
          <w:lang w:bidi="ar-IQ"/>
        </w:rPr>
        <w:t>ّ:</w:t>
      </w:r>
      <w:r w:rsidRPr="009275B4">
        <w:rPr>
          <w:rFonts w:ascii="Traditional Arabic" w:hAnsi="Traditional Arabic"/>
          <w:rtl/>
          <w:lang w:bidi="ar-IQ"/>
        </w:rPr>
        <w:t xml:space="preserve"> </w:t>
      </w:r>
      <w:r w:rsidRPr="009275B4">
        <w:rPr>
          <w:rFonts w:ascii="Traditional Arabic" w:hAnsi="Traditional Arabic" w:hint="cs"/>
          <w:rtl/>
          <w:lang w:bidi="ar-IQ"/>
        </w:rPr>
        <w:t>(</w:t>
      </w:r>
      <w:r w:rsidRPr="009275B4">
        <w:rPr>
          <w:rFonts w:ascii="Traditional Arabic" w:hAnsi="Traditional Arabic"/>
          <w:rtl/>
          <w:lang w:bidi="ar-IQ"/>
        </w:rPr>
        <w:t>أ</w:t>
      </w:r>
      <w:r w:rsidRPr="009275B4">
        <w:rPr>
          <w:rFonts w:ascii="Traditional Arabic" w:hAnsi="Traditional Arabic" w:hint="cs"/>
          <w:rtl/>
          <w:lang w:bidi="ar-IQ"/>
        </w:rPr>
        <w:t>َ</w:t>
      </w:r>
      <w:r w:rsidRPr="009275B4">
        <w:rPr>
          <w:rFonts w:ascii="Traditional Arabic" w:hAnsi="Traditional Arabic"/>
          <w:rtl/>
          <w:lang w:bidi="ar-IQ"/>
        </w:rPr>
        <w:t>ئ</w:t>
      </w:r>
      <w:r w:rsidRPr="009275B4">
        <w:rPr>
          <w:rFonts w:ascii="Traditional Arabic" w:hAnsi="Traditional Arabic" w:hint="cs"/>
          <w:rtl/>
          <w:lang w:bidi="ar-IQ"/>
        </w:rPr>
        <w:t>ِ</w:t>
      </w:r>
      <w:r w:rsidRPr="009275B4">
        <w:rPr>
          <w:rFonts w:ascii="Traditional Arabic" w:hAnsi="Traditional Arabic"/>
          <w:rtl/>
          <w:lang w:bidi="ar-IQ"/>
        </w:rPr>
        <w:t>م</w:t>
      </w:r>
      <w:r w:rsidRPr="009275B4">
        <w:rPr>
          <w:rFonts w:ascii="Traditional Arabic" w:hAnsi="Traditional Arabic" w:hint="cs"/>
          <w:rtl/>
          <w:lang w:bidi="ar-IQ"/>
        </w:rPr>
        <w:t>َّ</w:t>
      </w:r>
      <w:r w:rsidRPr="009275B4">
        <w:rPr>
          <w:rFonts w:ascii="Traditional Arabic" w:hAnsi="Traditional Arabic"/>
          <w:rtl/>
          <w:lang w:bidi="ar-IQ"/>
        </w:rPr>
        <w:t>ة</w:t>
      </w:r>
      <w:r w:rsidRPr="009275B4">
        <w:rPr>
          <w:rFonts w:ascii="Traditional Arabic" w:hAnsi="Traditional Arabic" w:hint="cs"/>
          <w:rtl/>
          <w:lang w:bidi="ar-IQ"/>
        </w:rPr>
        <w:t>)</w:t>
      </w:r>
      <w:r w:rsidRPr="009275B4">
        <w:rPr>
          <w:rFonts w:ascii="Traditional Arabic" w:hAnsi="Traditional Arabic"/>
          <w:rtl/>
          <w:lang w:bidi="ar-IQ"/>
        </w:rPr>
        <w:t>، بتحقيق الهمزتين، و</w:t>
      </w:r>
      <w:r w:rsidRPr="009275B4">
        <w:rPr>
          <w:rFonts w:ascii="Traditional Arabic" w:hAnsi="Traditional Arabic" w:hint="cs"/>
          <w:rtl/>
          <w:lang w:bidi="ar-IQ"/>
        </w:rPr>
        <w:t>قرأ</w:t>
      </w:r>
      <w:r w:rsidRPr="009275B4">
        <w:rPr>
          <w:rFonts w:ascii="Traditional Arabic" w:hAnsi="Traditional Arabic"/>
          <w:rtl/>
          <w:lang w:bidi="ar-IQ"/>
        </w:rPr>
        <w:t xml:space="preserve"> ابن كثير، وأبو جعفر،</w:t>
      </w:r>
      <w:r w:rsidRPr="009275B4">
        <w:rPr>
          <w:rFonts w:ascii="Traditional Arabic" w:hAnsi="Traditional Arabic" w:hint="cs"/>
          <w:rtl/>
          <w:lang w:bidi="ar-IQ"/>
        </w:rPr>
        <w:t xml:space="preserve"> و</w:t>
      </w:r>
      <w:r w:rsidRPr="009275B4">
        <w:rPr>
          <w:rFonts w:ascii="Traditional Arabic" w:hAnsi="Traditional Arabic"/>
          <w:rtl/>
          <w:lang w:bidi="ar-IQ"/>
        </w:rPr>
        <w:t xml:space="preserve">أبو عمرو، </w:t>
      </w:r>
      <w:r w:rsidRPr="009275B4">
        <w:rPr>
          <w:rFonts w:ascii="Traditional Arabic" w:hAnsi="Traditional Arabic" w:hint="cs"/>
          <w:rtl/>
          <w:lang w:bidi="ar-IQ"/>
        </w:rPr>
        <w:t>و</w:t>
      </w:r>
      <w:r w:rsidRPr="009275B4">
        <w:rPr>
          <w:rFonts w:ascii="Traditional Arabic" w:hAnsi="Traditional Arabic"/>
          <w:rtl/>
          <w:lang w:bidi="ar-IQ"/>
        </w:rPr>
        <w:t>نافع، ورويس: (أ</w:t>
      </w:r>
      <w:r w:rsidRPr="009275B4">
        <w:rPr>
          <w:rFonts w:ascii="Traditional Arabic" w:hAnsi="Traditional Arabic" w:hint="cs"/>
          <w:rtl/>
          <w:lang w:bidi="ar-IQ"/>
        </w:rPr>
        <w:t>َ</w:t>
      </w:r>
      <w:r w:rsidRPr="009275B4">
        <w:rPr>
          <w:rFonts w:ascii="Traditional Arabic" w:hAnsi="Traditional Arabic"/>
          <w:rtl/>
          <w:lang w:bidi="ar-IQ"/>
        </w:rPr>
        <w:t>ي</w:t>
      </w:r>
      <w:r w:rsidRPr="009275B4">
        <w:rPr>
          <w:rFonts w:ascii="Traditional Arabic" w:hAnsi="Traditional Arabic" w:hint="cs"/>
          <w:rtl/>
          <w:lang w:bidi="ar-IQ"/>
        </w:rPr>
        <w:t>ِـ</w:t>
      </w:r>
      <w:r w:rsidRPr="009275B4">
        <w:rPr>
          <w:rFonts w:ascii="Traditional Arabic" w:hAnsi="Traditional Arabic"/>
          <w:rtl/>
          <w:lang w:bidi="ar-IQ"/>
        </w:rPr>
        <w:t>م</w:t>
      </w:r>
      <w:r w:rsidRPr="009275B4">
        <w:rPr>
          <w:rFonts w:ascii="Traditional Arabic" w:hAnsi="Traditional Arabic" w:hint="cs"/>
          <w:rtl/>
          <w:lang w:bidi="ar-IQ"/>
        </w:rPr>
        <w:t>َّ</w:t>
      </w:r>
      <w:r w:rsidRPr="009275B4">
        <w:rPr>
          <w:rFonts w:ascii="Traditional Arabic" w:hAnsi="Traditional Arabic"/>
          <w:rtl/>
          <w:lang w:bidi="ar-IQ"/>
        </w:rPr>
        <w:t>ة)</w:t>
      </w:r>
      <w:r w:rsidRPr="009275B4">
        <w:rPr>
          <w:rFonts w:ascii="Traditional Arabic" w:hAnsi="Traditional Arabic" w:hint="cs"/>
          <w:rtl/>
          <w:lang w:bidi="ar-IQ"/>
        </w:rPr>
        <w:t>،</w:t>
      </w:r>
      <w:r w:rsidRPr="009275B4">
        <w:rPr>
          <w:rFonts w:ascii="Traditional Arabic" w:hAnsi="Traditional Arabic"/>
          <w:rtl/>
          <w:lang w:bidi="ar-IQ"/>
        </w:rPr>
        <w:t xml:space="preserve"> واختلف هؤلاء في كيفية تسهيل الهمزة، فمنهم من جعلها بين بين، ومنهم من جعلها ياء خالصة.</w:t>
      </w:r>
      <w:r w:rsidRPr="009275B4">
        <w:rPr>
          <w:rFonts w:ascii="Traditional Arabic" w:hAnsi="Traditional Arabic" w:hint="cs"/>
          <w:rtl/>
          <w:lang w:bidi="ar-IQ"/>
        </w:rPr>
        <w:t xml:space="preserve"> ينظر: </w:t>
      </w:r>
      <w:r w:rsidRPr="009275B4">
        <w:rPr>
          <w:rFonts w:ascii="Traditional Arabic" w:hAnsi="Traditional Arabic"/>
          <w:rtl/>
          <w:lang w:bidi="ar-IQ"/>
        </w:rPr>
        <w:t>النشر في القراءات العشر</w:t>
      </w:r>
      <w:r w:rsidRPr="009275B4">
        <w:rPr>
          <w:rFonts w:ascii="Traditional Arabic" w:hAnsi="Traditional Arabic" w:hint="cs"/>
          <w:rtl/>
          <w:lang w:bidi="ar-IQ"/>
        </w:rPr>
        <w:t>،</w:t>
      </w:r>
      <w:r w:rsidRPr="009275B4">
        <w:rPr>
          <w:rFonts w:ascii="Traditional Arabic" w:hAnsi="Traditional Arabic"/>
          <w:rtl/>
          <w:lang w:bidi="ar-IQ"/>
        </w:rPr>
        <w:t xml:space="preserve"> ابن الجزري</w:t>
      </w:r>
      <w:r w:rsidRPr="009275B4">
        <w:rPr>
          <w:rFonts w:ascii="Traditional Arabic" w:hAnsi="Traditional Arabic" w:hint="cs"/>
          <w:rtl/>
          <w:lang w:bidi="ar-IQ"/>
        </w:rPr>
        <w:t>ّ:</w:t>
      </w:r>
      <w:r w:rsidRPr="009275B4">
        <w:rPr>
          <w:rFonts w:ascii="Traditional Arabic" w:hAnsi="Traditional Arabic"/>
          <w:rtl/>
          <w:lang w:bidi="ar-IQ"/>
        </w:rPr>
        <w:t xml:space="preserve"> 1/378-379.</w:t>
      </w:r>
    </w:p>
    <w:p w:rsidR="009B0A04" w:rsidRPr="009275B4" w:rsidRDefault="009B0A04" w:rsidP="009B0A04">
      <w:pPr>
        <w:pStyle w:val="MicrosoftSansSerif"/>
        <w:widowControl w:val="0"/>
        <w:contextualSpacing/>
        <w:jc w:val="lowKashida"/>
        <w:rPr>
          <w:rFonts w:ascii="Traditional Arabic" w:hAnsi="Traditional Arabic" w:hint="cs"/>
          <w:b/>
          <w:b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إذا اشتمل المتن على بيت شعريّ، فلا بدّ من تخريجه في الهامش، ونسبته إلى الشاعر، إذا لم يكن منسوبًا إليه في المتن، إلّا إذا كان مجهول القائل، أو لم يستطع الباحث الوقوف على نسبة البيت إلى شاعر معيّن. مثل</w:t>
      </w:r>
      <w:r w:rsidRPr="009275B4">
        <w:rPr>
          <w:rFonts w:ascii="Traditional Arabic" w:hAnsi="Traditional Arabic" w:hint="cs"/>
          <w:b/>
          <w:bCs/>
          <w:rtl/>
          <w:lang w:bidi="ar-IQ"/>
        </w:rPr>
        <w:t>:</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ديوان طرفة بن العبد: 33.</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البيت لطرفة بن العبد، في ديوانه: 33.</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البيت لطرفة بن العبد، وقد أخلّ به ديوانه.</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البيت لخُفاف بن ندبة، ينظر: الأصمعيّات: 28.</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لم أقف على نسبة لهذا البيت.</w:t>
      </w:r>
    </w:p>
    <w:p w:rsidR="009B0A04" w:rsidRPr="009275B4" w:rsidRDefault="009B0A04" w:rsidP="009B0A04">
      <w:pPr>
        <w:pStyle w:val="MicrosoftSansSerif"/>
        <w:widowControl w:val="0"/>
        <w:pBdr>
          <w:top w:val="single" w:sz="6" w:space="1" w:color="auto"/>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 xml:space="preserve">إذا اشتمل المتن على مثل من الأمثال العربيّة، أو على حكمة، أو خطبة، أو ما شابه ذلك، فلا بدّ من التخريج في الهامش، ونسبة القول إلى صاحبه، </w:t>
      </w:r>
      <w:r w:rsidRPr="009275B4">
        <w:rPr>
          <w:rFonts w:ascii="Traditional Arabic" w:hAnsi="Traditional Arabic" w:hint="cs"/>
          <w:rtl/>
          <w:lang w:bidi="ar-IQ"/>
        </w:rPr>
        <w:lastRenderedPageBreak/>
        <w:t>إذا لم يكن منسوبًا إليه في المتن، إلّا إذا كان مجهول القائل، أو لم يستطع الباحث الوقوف على نسبة القول إلى قائل معيّن.</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 xml:space="preserve">إذا اشتمل المتن على نصّ من الكتاب المقدّس، فلا بدّ من تخريجه في الهامش، بذكر اسم السفر، ثمّ نضع نقطتين رأسيّتين، ثمّ رقم الإصحاح، ثمّ </w:t>
      </w:r>
      <w:r w:rsidRPr="009275B4">
        <w:rPr>
          <w:rFonts w:ascii="Traditional Arabic" w:hAnsi="Traditional Arabic"/>
          <w:rtl/>
          <w:lang w:bidi="ar-IQ"/>
        </w:rPr>
        <w:t xml:space="preserve">نضع خطًّا مائلًا، </w:t>
      </w:r>
      <w:r w:rsidRPr="009275B4">
        <w:rPr>
          <w:rFonts w:ascii="Traditional Arabic" w:hAnsi="Traditional Arabic" w:hint="cs"/>
          <w:rtl/>
          <w:lang w:bidi="ar-IQ"/>
        </w:rPr>
        <w:t>ثمّ رقم الآية، ثمّ نقطة، مثل:</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rtl/>
          <w:lang w:bidi="ar-IQ"/>
        </w:rPr>
        <w:t xml:space="preserve">(1) </w:t>
      </w:r>
      <w:r w:rsidRPr="009275B4">
        <w:rPr>
          <w:rFonts w:ascii="Traditional Arabic" w:hAnsi="Traditional Arabic"/>
          <w:rtl/>
          <w:lang w:bidi="ar-IQ"/>
        </w:rPr>
        <w:t>سفر حزقيال</w:t>
      </w:r>
      <w:r w:rsidRPr="009275B4">
        <w:rPr>
          <w:rFonts w:ascii="Traditional Arabic" w:hAnsi="Traditional Arabic" w:hint="cs"/>
          <w:rtl/>
          <w:lang w:bidi="ar-IQ"/>
        </w:rPr>
        <w:t>:</w:t>
      </w:r>
      <w:r w:rsidRPr="009275B4">
        <w:rPr>
          <w:rFonts w:ascii="Traditional Arabic" w:hAnsi="Traditional Arabic"/>
          <w:rtl/>
          <w:lang w:bidi="ar-IQ"/>
        </w:rPr>
        <w:t xml:space="preserve"> 16</w:t>
      </w:r>
      <w:r w:rsidRPr="009275B4">
        <w:rPr>
          <w:rFonts w:ascii="Traditional Arabic" w:hAnsi="Traditional Arabic" w:hint="cs"/>
          <w:rtl/>
          <w:lang w:bidi="ar-IQ"/>
        </w:rPr>
        <w:t>/</w:t>
      </w:r>
      <w:r w:rsidRPr="009275B4">
        <w:rPr>
          <w:rFonts w:ascii="Traditional Arabic" w:hAnsi="Traditional Arabic"/>
          <w:rtl/>
          <w:lang w:bidi="ar-IQ"/>
        </w:rPr>
        <w:t>30</w:t>
      </w:r>
      <w:r w:rsidRPr="009275B4">
        <w:rPr>
          <w:rFonts w:ascii="Traditional Arabic" w:hAnsi="Traditional Arabic" w:hint="cs"/>
          <w:rtl/>
          <w:lang w:bidi="ar-IQ"/>
        </w:rPr>
        <w:t>.</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إذا</w:t>
      </w:r>
      <w:r w:rsidRPr="009275B4">
        <w:rPr>
          <w:rFonts w:ascii="Traditional Arabic" w:hAnsi="Traditional Arabic" w:hint="cs"/>
          <w:b/>
          <w:bCs/>
          <w:rtl/>
          <w:lang w:bidi="ar-IQ"/>
        </w:rPr>
        <w:t xml:space="preserve"> </w:t>
      </w:r>
      <w:r w:rsidRPr="009275B4">
        <w:rPr>
          <w:rFonts w:ascii="Traditional Arabic" w:hAnsi="Traditional Arabic" w:hint="cs"/>
          <w:rtl/>
          <w:lang w:bidi="ar-IQ"/>
        </w:rPr>
        <w:t>احتاج الباحث إلى ذكر نصّ في الهامش، فتوثيقه كما في المثال:</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قال الطبريّ في (</w:t>
      </w:r>
      <w:r w:rsidRPr="009275B4">
        <w:rPr>
          <w:rFonts w:ascii="Traditional Arabic" w:hAnsi="Traditional Arabic"/>
          <w:rtl/>
          <w:lang w:bidi="ar-IQ"/>
        </w:rPr>
        <w:t>جامع البيان</w:t>
      </w:r>
      <w:r w:rsidRPr="009275B4">
        <w:rPr>
          <w:rFonts w:ascii="Traditional Arabic" w:hAnsi="Traditional Arabic" w:hint="cs"/>
          <w:rtl/>
          <w:lang w:bidi="ar-IQ"/>
        </w:rPr>
        <w:t xml:space="preserve">: </w:t>
      </w:r>
      <w:r w:rsidRPr="009275B4">
        <w:rPr>
          <w:rFonts w:ascii="Traditional Arabic" w:hAnsi="Traditional Arabic"/>
          <w:rtl/>
          <w:lang w:bidi="ar-IQ"/>
        </w:rPr>
        <w:t>1/8)</w:t>
      </w:r>
      <w:r w:rsidRPr="009275B4">
        <w:rPr>
          <w:rFonts w:ascii="Traditional Arabic" w:hAnsi="Traditional Arabic" w:hint="cs"/>
          <w:rtl/>
          <w:lang w:bidi="ar-IQ"/>
        </w:rPr>
        <w:t>: ((</w:t>
      </w:r>
      <w:r w:rsidRPr="009275B4">
        <w:rPr>
          <w:rFonts w:ascii="Traditional Arabic" w:hAnsi="Traditional Arabic"/>
          <w:rtl/>
          <w:lang w:bidi="ar-IQ"/>
        </w:rPr>
        <w:t>وَإِنَّ أَوَّلَ مَا نَبْدَأُ بِهِ مِنَ الْقِيلِ فِي ذَلِكَ، الْإِبَانَةُ عَنِ الْأَسْبَابِ الَّتِي الْبِدَايَةُ بِهَا أَوْلَى، وَتَقْدِيمُهَا قَبْلَ مَا عَدَاهَا أَحْرَى</w:t>
      </w:r>
      <w:r w:rsidRPr="009275B4">
        <w:rPr>
          <w:rFonts w:ascii="Traditional Arabic" w:hAnsi="Traditional Arabic" w:hint="cs"/>
          <w:rtl/>
          <w:lang w:bidi="ar-IQ"/>
        </w:rPr>
        <w:t>)).</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ab/>
        <w:t>ويجوز بتأخير التوثيق بعد النصّ، هكذا:</w:t>
      </w:r>
    </w:p>
    <w:p w:rsidR="009B0A04" w:rsidRPr="009275B4" w:rsidRDefault="009B0A04" w:rsidP="009B0A04">
      <w:pPr>
        <w:pStyle w:val="MicrosoftSansSerif"/>
        <w:widowControl w:val="0"/>
        <w:contextualSpacing/>
        <w:jc w:val="lowKashida"/>
        <w:rPr>
          <w:rFonts w:ascii="Traditional Arabic" w:hAnsi="Traditional Arabic" w:hint="cs"/>
          <w:rtl/>
          <w:lang w:bidi="ar-IQ"/>
        </w:rPr>
      </w:pPr>
      <w:r w:rsidRPr="009275B4">
        <w:rPr>
          <w:rFonts w:ascii="Traditional Arabic" w:hAnsi="Traditional Arabic" w:hint="cs"/>
          <w:rtl/>
          <w:lang w:bidi="ar-IQ"/>
        </w:rPr>
        <w:t>(1) قال الطبريّ: ((</w:t>
      </w:r>
      <w:r w:rsidRPr="009275B4">
        <w:rPr>
          <w:rFonts w:ascii="Traditional Arabic" w:hAnsi="Traditional Arabic"/>
          <w:rtl/>
          <w:lang w:bidi="ar-IQ"/>
        </w:rPr>
        <w:t>وَإِنَّ أَوَّلَ مَا نَبْدَأُ بِهِ مِنَ الْقِيلِ فِي ذَلِكَ، الْإِبَانَةُ عَنِ الْأَسْبَابِ الَّتِي الْبِدَايَةُ بِهَا أَوْلَى، وَتَقْدِيمُهَا قَبْلَ مَا عَدَاهَا أَحْرَى</w:t>
      </w:r>
      <w:r w:rsidRPr="009275B4">
        <w:rPr>
          <w:rFonts w:ascii="Traditional Arabic" w:hAnsi="Traditional Arabic" w:hint="cs"/>
          <w:rtl/>
          <w:lang w:bidi="ar-IQ"/>
        </w:rPr>
        <w:t xml:space="preserve">)). </w:t>
      </w:r>
      <w:r w:rsidRPr="009275B4">
        <w:rPr>
          <w:rFonts w:ascii="Traditional Arabic" w:hAnsi="Traditional Arabic"/>
          <w:rtl/>
          <w:lang w:bidi="ar-IQ"/>
        </w:rPr>
        <w:t>جامع البيان</w:t>
      </w:r>
      <w:r w:rsidRPr="009275B4">
        <w:rPr>
          <w:rFonts w:ascii="Traditional Arabic" w:hAnsi="Traditional Arabic" w:hint="cs"/>
          <w:rtl/>
          <w:lang w:bidi="ar-IQ"/>
        </w:rPr>
        <w:t xml:space="preserve">: </w:t>
      </w:r>
      <w:r w:rsidRPr="009275B4">
        <w:rPr>
          <w:rFonts w:ascii="Traditional Arabic" w:hAnsi="Traditional Arabic"/>
          <w:rtl/>
          <w:lang w:bidi="ar-IQ"/>
        </w:rPr>
        <w:t>1/8</w:t>
      </w:r>
      <w:r w:rsidRPr="009275B4">
        <w:rPr>
          <w:rFonts w:ascii="Traditional Arabic" w:hAnsi="Traditional Arabic" w:hint="cs"/>
          <w:rtl/>
          <w:lang w:bidi="ar-IQ"/>
        </w:rPr>
        <w:t>.</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lang w:bidi="ar-IQ"/>
        </w:rPr>
      </w:pPr>
      <w:r w:rsidRPr="009275B4">
        <w:rPr>
          <w:rFonts w:ascii="Traditional Arabic" w:hAnsi="Traditional Arabic" w:hint="cs"/>
          <w:rtl/>
          <w:lang w:bidi="ar-IQ"/>
        </w:rPr>
        <w:tab/>
        <w:t>ولكن يجب اتّباع طريقة واحدة في البحث كلّه.</w:t>
      </w:r>
    </w:p>
    <w:p w:rsidR="009B0A04" w:rsidRDefault="009B0A04" w:rsidP="009B0A04">
      <w:pPr>
        <w:pStyle w:val="MicrosoftSansSerif"/>
        <w:widowControl w:val="0"/>
        <w:contextualSpacing/>
        <w:jc w:val="lowKashida"/>
        <w:rPr>
          <w:rFonts w:ascii="Traditional Arabic" w:hAnsi="Traditional Arabic"/>
          <w:b/>
          <w:bCs/>
          <w:rtl/>
          <w:lang w:bidi="ar-IQ"/>
        </w:rPr>
      </w:pPr>
    </w:p>
    <w:p w:rsidR="009B0A04" w:rsidRDefault="009B0A04" w:rsidP="009B0A04">
      <w:pPr>
        <w:pStyle w:val="MicrosoftSansSerif"/>
        <w:widowControl w:val="0"/>
        <w:contextualSpacing/>
        <w:jc w:val="lowKashida"/>
        <w:rPr>
          <w:rFonts w:ascii="Traditional Arabic" w:hAnsi="Traditional Arabic"/>
          <w:b/>
          <w:bCs/>
          <w:rtl/>
          <w:lang w:bidi="ar-IQ"/>
        </w:rPr>
      </w:pPr>
    </w:p>
    <w:p w:rsidR="009B0A04" w:rsidRDefault="009B0A04" w:rsidP="009B0A04">
      <w:pPr>
        <w:pStyle w:val="MicrosoftSansSerif"/>
        <w:widowControl w:val="0"/>
        <w:contextualSpacing/>
        <w:jc w:val="lowKashida"/>
        <w:rPr>
          <w:rFonts w:ascii="Traditional Arabic" w:hAnsi="Traditional Arabic"/>
          <w:b/>
          <w:bCs/>
          <w:rtl/>
          <w:lang w:bidi="ar-IQ"/>
        </w:rPr>
      </w:pPr>
    </w:p>
    <w:p w:rsidR="009B0A04" w:rsidRPr="009275B4" w:rsidRDefault="009B0A04" w:rsidP="009B0A04">
      <w:pPr>
        <w:pStyle w:val="MicrosoftSansSerif"/>
        <w:widowControl w:val="0"/>
        <w:contextualSpacing/>
        <w:jc w:val="lowKashida"/>
        <w:rPr>
          <w:rFonts w:ascii="Traditional Arabic" w:hAnsi="Traditional Arabic" w:hint="cs"/>
          <w:b/>
          <w:bCs/>
          <w:rtl/>
          <w:lang w:bidi="ar-IQ"/>
        </w:rPr>
      </w:pPr>
      <w:r w:rsidRPr="009275B4">
        <w:rPr>
          <w:rFonts w:ascii="Traditional Arabic" w:hAnsi="Traditional Arabic" w:hint="cs"/>
          <w:b/>
          <w:bCs/>
          <w:rtl/>
          <w:lang w:bidi="ar-IQ"/>
        </w:rPr>
        <w:t xml:space="preserve">* ملاحظة: </w:t>
      </w:r>
      <w:r w:rsidRPr="009275B4">
        <w:rPr>
          <w:rFonts w:ascii="Traditional Arabic" w:hAnsi="Traditional Arabic" w:hint="cs"/>
          <w:rtl/>
          <w:lang w:bidi="ar-IQ"/>
        </w:rPr>
        <w:t>يجب الاختصار في ترجمة العلم قدر المستطاع، فلا تتجاوز أكثر من ثلاثة أسطر، إلّا لسبب مهمّ، مثل:</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b/>
          <w:bCs/>
          <w:rtl/>
        </w:rPr>
      </w:pPr>
      <w:r w:rsidRPr="009275B4">
        <w:rPr>
          <w:rFonts w:ascii="Traditional Arabic" w:hAnsi="Traditional Arabic"/>
          <w:rtl/>
        </w:rPr>
        <w:t>(</w:t>
      </w:r>
      <w:r w:rsidRPr="009275B4">
        <w:rPr>
          <w:rFonts w:ascii="Traditional Arabic" w:hAnsi="Traditional Arabic" w:hint="cs"/>
          <w:rtl/>
        </w:rPr>
        <w:t>1</w:t>
      </w:r>
      <w:r w:rsidRPr="009275B4">
        <w:rPr>
          <w:rFonts w:ascii="Traditional Arabic" w:hAnsi="Traditional Arabic"/>
          <w:rtl/>
        </w:rPr>
        <w:t>)</w:t>
      </w:r>
      <w:r w:rsidRPr="009275B4">
        <w:rPr>
          <w:rFonts w:ascii="Traditional Arabic" w:hAnsi="Traditional Arabic" w:hint="cs"/>
          <w:rtl/>
        </w:rPr>
        <w:t xml:space="preserve"> </w:t>
      </w:r>
      <w:r w:rsidRPr="009275B4">
        <w:rPr>
          <w:rFonts w:ascii="Traditional Arabic" w:hAnsi="Traditional Arabic"/>
          <w:rtl/>
        </w:rPr>
        <w:t>ابن القشيريّ: هو أبو نصر</w:t>
      </w:r>
      <w:r w:rsidRPr="009275B4">
        <w:rPr>
          <w:rFonts w:ascii="Traditional Arabic" w:hAnsi="Traditional Arabic" w:hint="cs"/>
          <w:rtl/>
        </w:rPr>
        <w:t>،</w:t>
      </w:r>
      <w:r w:rsidRPr="009275B4">
        <w:rPr>
          <w:rFonts w:ascii="Traditional Arabic" w:hAnsi="Traditional Arabic"/>
          <w:rtl/>
        </w:rPr>
        <w:t xml:space="preserve"> عبد الرحيم بن عبد الكريم بن هوازن</w:t>
      </w:r>
      <w:r w:rsidRPr="009275B4">
        <w:rPr>
          <w:rFonts w:ascii="Traditional Arabic" w:hAnsi="Traditional Arabic" w:hint="cs"/>
          <w:rtl/>
        </w:rPr>
        <w:t>،</w:t>
      </w:r>
      <w:r w:rsidRPr="009275B4">
        <w:rPr>
          <w:rFonts w:ascii="Traditional Arabic" w:hAnsi="Traditional Arabic"/>
          <w:rtl/>
        </w:rPr>
        <w:t xml:space="preserve"> القشيريّ</w:t>
      </w:r>
      <w:r w:rsidRPr="009275B4">
        <w:rPr>
          <w:rFonts w:ascii="Traditional Arabic" w:hAnsi="Traditional Arabic" w:hint="cs"/>
          <w:rtl/>
        </w:rPr>
        <w:t>،</w:t>
      </w:r>
      <w:r w:rsidRPr="009275B4">
        <w:rPr>
          <w:rFonts w:ascii="Traditional Arabic" w:hAnsi="Traditional Arabic"/>
          <w:rtl/>
        </w:rPr>
        <w:t xml:space="preserve"> النيسابوريّ، فقيه، أصوليّ، مفسّر، أديب، ناثر، ناظم، لازم إمام الحرمين، ومات سنة </w:t>
      </w:r>
      <w:r w:rsidRPr="009275B4">
        <w:rPr>
          <w:rFonts w:ascii="Traditional Arabic" w:hAnsi="Traditional Arabic" w:hint="cs"/>
          <w:rtl/>
        </w:rPr>
        <w:t>(</w:t>
      </w:r>
      <w:r w:rsidRPr="009275B4">
        <w:rPr>
          <w:rFonts w:ascii="Traditional Arabic" w:hAnsi="Traditional Arabic"/>
          <w:rtl/>
        </w:rPr>
        <w:t>514هـ</w:t>
      </w:r>
      <w:r w:rsidRPr="009275B4">
        <w:rPr>
          <w:rFonts w:ascii="Traditional Arabic" w:hAnsi="Traditional Arabic" w:hint="cs"/>
          <w:rtl/>
        </w:rPr>
        <w:t>)</w:t>
      </w:r>
      <w:r w:rsidRPr="009275B4">
        <w:rPr>
          <w:rFonts w:ascii="Traditional Arabic" w:hAnsi="Traditional Arabic"/>
          <w:rtl/>
        </w:rPr>
        <w:t xml:space="preserve">. </w:t>
      </w:r>
      <w:r w:rsidRPr="009275B4">
        <w:rPr>
          <w:rFonts w:ascii="Traditional Arabic" w:hAnsi="Traditional Arabic" w:hint="cs"/>
          <w:rtl/>
        </w:rPr>
        <w:t>ينظر</w:t>
      </w:r>
      <w:r w:rsidRPr="009275B4">
        <w:rPr>
          <w:rFonts w:ascii="Traditional Arabic" w:hAnsi="Traditional Arabic"/>
          <w:rtl/>
        </w:rPr>
        <w:t>: سير أعلام النبلاء</w:t>
      </w:r>
      <w:r w:rsidRPr="009275B4">
        <w:rPr>
          <w:rFonts w:ascii="Traditional Arabic" w:hAnsi="Traditional Arabic" w:hint="cs"/>
          <w:rtl/>
        </w:rPr>
        <w:t>، الذهبيّ</w:t>
      </w:r>
      <w:r w:rsidRPr="009275B4">
        <w:rPr>
          <w:rFonts w:ascii="Traditional Arabic" w:hAnsi="Traditional Arabic"/>
          <w:rtl/>
        </w:rPr>
        <w:t>: 19/424-426.</w:t>
      </w:r>
    </w:p>
    <w:p w:rsidR="009B0A04" w:rsidRPr="009275B4" w:rsidRDefault="009B0A04" w:rsidP="009B0A04">
      <w:pPr>
        <w:pStyle w:val="MicrosoftSansSerif"/>
        <w:widowControl w:val="0"/>
        <w:contextualSpacing/>
        <w:jc w:val="lowKashida"/>
        <w:rPr>
          <w:rFonts w:ascii="Traditional Arabic" w:hAnsi="Traditional Arabic" w:hint="cs"/>
          <w:rtl/>
        </w:rPr>
      </w:pPr>
      <w:r w:rsidRPr="009275B4">
        <w:rPr>
          <w:rFonts w:ascii="Traditional Arabic" w:hAnsi="Traditional Arabic" w:hint="cs"/>
          <w:b/>
          <w:bCs/>
          <w:rtl/>
        </w:rPr>
        <w:t xml:space="preserve">* ملاحظة: </w:t>
      </w:r>
      <w:r w:rsidRPr="009275B4">
        <w:rPr>
          <w:rFonts w:ascii="Traditional Arabic" w:hAnsi="Traditional Arabic" w:hint="cs"/>
          <w:rtl/>
        </w:rPr>
        <w:t>ينبغي</w:t>
      </w:r>
      <w:r w:rsidRPr="009275B4">
        <w:rPr>
          <w:rFonts w:ascii="Traditional Arabic" w:hAnsi="Traditional Arabic" w:hint="cs"/>
          <w:b/>
          <w:bCs/>
          <w:rtl/>
        </w:rPr>
        <w:t xml:space="preserve"> </w:t>
      </w:r>
      <w:r w:rsidRPr="009275B4">
        <w:rPr>
          <w:rFonts w:ascii="Traditional Arabic" w:hAnsi="Traditional Arabic" w:hint="cs"/>
          <w:rtl/>
        </w:rPr>
        <w:t xml:space="preserve">تجنُّب استعمال عبارات التفخيم للكتب والمؤلّفين، عند التوثيق </w:t>
      </w:r>
      <w:r w:rsidRPr="009275B4">
        <w:rPr>
          <w:rFonts w:ascii="Traditional Arabic" w:hAnsi="Traditional Arabic" w:hint="cs"/>
          <w:rtl/>
        </w:rPr>
        <w:lastRenderedPageBreak/>
        <w:t xml:space="preserve">في الهوامش، أو حتّى في ثبت المصادر والمراجع، ومن أمثلة التفخيم: الكتاب الرائع، الكتاب المفيد، الكتاب العظيم، الموسوعة النافعة، الشيخ العالم العلّامة، الحبر الفهّامة، شيخ الإسلام، </w:t>
      </w:r>
      <w:r w:rsidRPr="009275B4">
        <w:rPr>
          <w:rFonts w:ascii="Traditional Arabic" w:hAnsi="Traditional Arabic"/>
          <w:rtl/>
        </w:rPr>
        <w:t>الشيخ الإمام، مفتي الأنام، أوحد عصره، فريد دهره، ناصر السُّنَّة،</w:t>
      </w:r>
      <w:r w:rsidRPr="009275B4">
        <w:rPr>
          <w:rFonts w:ascii="Traditional Arabic" w:hAnsi="Traditional Arabic" w:hint="cs"/>
          <w:rtl/>
        </w:rPr>
        <w:t xml:space="preserve"> إمام السنّة، قامع البدعة، </w:t>
      </w:r>
      <w:r w:rsidRPr="009275B4">
        <w:rPr>
          <w:rFonts w:ascii="Traditional Arabic" w:hAnsi="Traditional Arabic"/>
          <w:rtl/>
        </w:rPr>
        <w:t>قدس الله روحه</w:t>
      </w:r>
      <w:r w:rsidRPr="009275B4">
        <w:rPr>
          <w:rFonts w:ascii="Traditional Arabic" w:hAnsi="Traditional Arabic" w:hint="cs"/>
          <w:rtl/>
        </w:rPr>
        <w:t xml:space="preserve">، </w:t>
      </w:r>
      <w:r w:rsidRPr="009275B4">
        <w:rPr>
          <w:rFonts w:ascii="Traditional Arabic" w:hAnsi="Traditional Arabic"/>
          <w:rtl/>
        </w:rPr>
        <w:t>ونور ضريحه</w:t>
      </w:r>
      <w:r w:rsidRPr="009275B4">
        <w:rPr>
          <w:rFonts w:ascii="Traditional Arabic" w:hAnsi="Traditional Arabic" w:hint="cs"/>
          <w:rtl/>
        </w:rPr>
        <w:t xml:space="preserve">، رحمه الله، سماحة الشيخ، محيي المذهب، مجدّد الدين، سلطان العلماء، محدّث العصر، صاحب الفضيلة، البروفيسور، الأستاذ الأوّل، الأستاذ المتمرّس، أستاذ الكرسيّ،... إلخ.   </w:t>
      </w:r>
    </w:p>
    <w:p w:rsidR="009B0A04" w:rsidRPr="009275B4" w:rsidRDefault="009B0A04" w:rsidP="009B0A04">
      <w:pPr>
        <w:pStyle w:val="MicrosoftSansSerif"/>
        <w:widowControl w:val="0"/>
        <w:contextualSpacing/>
        <w:jc w:val="lowKashida"/>
        <w:rPr>
          <w:rFonts w:ascii="Traditional Arabic" w:hAnsi="Traditional Arabic" w:hint="cs"/>
          <w:rtl/>
        </w:rPr>
      </w:pPr>
      <w:r w:rsidRPr="009275B4">
        <w:rPr>
          <w:rFonts w:ascii="Traditional Arabic" w:hAnsi="Traditional Arabic" w:hint="cs"/>
          <w:rtl/>
        </w:rPr>
        <w:tab/>
        <w:t>وي</w:t>
      </w:r>
      <w:r>
        <w:rPr>
          <w:rFonts w:ascii="Traditional Arabic" w:hAnsi="Traditional Arabic" w:hint="cs"/>
          <w:rtl/>
        </w:rPr>
        <w:t>ُ</w:t>
      </w:r>
      <w:r w:rsidRPr="009275B4">
        <w:rPr>
          <w:rFonts w:ascii="Traditional Arabic" w:hAnsi="Traditional Arabic" w:hint="cs"/>
          <w:rtl/>
        </w:rPr>
        <w:t>ستثنى من ذلك:</w:t>
      </w:r>
    </w:p>
    <w:p w:rsidR="009B0A04" w:rsidRPr="009275B4" w:rsidRDefault="009B0A04" w:rsidP="009B0A04">
      <w:pPr>
        <w:pStyle w:val="MicrosoftSansSerif"/>
        <w:widowControl w:val="0"/>
        <w:contextualSpacing/>
        <w:jc w:val="lowKashida"/>
        <w:rPr>
          <w:rFonts w:ascii="Traditional Arabic" w:hAnsi="Traditional Arabic" w:hint="cs"/>
          <w:rtl/>
        </w:rPr>
      </w:pPr>
      <w:r w:rsidRPr="009275B4">
        <w:rPr>
          <w:rFonts w:ascii="Traditional Arabic" w:hAnsi="Traditional Arabic" w:hint="cs"/>
          <w:rtl/>
        </w:rPr>
        <w:t>- كلمة الدكتور، والأفضل كتابتها بصور رمزيّة هكذا (د.)، مثل: د. شوقي ضيف.</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rPr>
      </w:pPr>
      <w:r w:rsidRPr="009275B4">
        <w:rPr>
          <w:rFonts w:ascii="Traditional Arabic" w:hAnsi="Traditional Arabic" w:hint="cs"/>
          <w:rtl/>
        </w:rPr>
        <w:t>- إذا كان اللقب جزءًا من شهرة المؤلّف، مثل: إمام الحرمين الجوينيّ، ومجد الدين ابن الأثير، والعلّامة الحلّيّ، والشهيد الثاني.</w:t>
      </w:r>
    </w:p>
    <w:p w:rsidR="009B0A04" w:rsidRPr="009275B4" w:rsidRDefault="009B0A04" w:rsidP="009B0A04">
      <w:pPr>
        <w:pStyle w:val="MicrosoftSansSerif"/>
        <w:widowControl w:val="0"/>
        <w:pBdr>
          <w:bottom w:val="single" w:sz="6" w:space="1" w:color="auto"/>
        </w:pBdr>
        <w:contextualSpacing/>
        <w:jc w:val="lowKashida"/>
        <w:rPr>
          <w:rFonts w:ascii="Traditional Arabic" w:hAnsi="Traditional Arabic" w:hint="cs"/>
          <w:rtl/>
        </w:rPr>
      </w:pPr>
      <w:r w:rsidRPr="009275B4">
        <w:rPr>
          <w:rFonts w:ascii="Traditional Arabic" w:hAnsi="Traditional Arabic" w:hint="cs"/>
          <w:rtl/>
        </w:rPr>
        <w:t>- إذا كان الاسم الرسميّ للكتاب في النسخة المطبوعة يشتمل على لقب من ألقاب التفخيم، مثل تفسير الإمام ابن عرفة.</w:t>
      </w:r>
    </w:p>
    <w:p w:rsidR="00263A2C" w:rsidRDefault="009B0A04">
      <w:pPr>
        <w:rPr>
          <w:lang w:bidi="ar-SY"/>
        </w:rPr>
      </w:pPr>
      <w:bookmarkStart w:id="0" w:name="_GoBack"/>
      <w:bookmarkEnd w:id="0"/>
    </w:p>
    <w:sectPr w:rsidR="00263A2C" w:rsidSect="00E338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0F"/>
    <w:rsid w:val="0042568B"/>
    <w:rsid w:val="00496C0F"/>
    <w:rsid w:val="009B0A04"/>
    <w:rsid w:val="00E33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oftSansSerif">
    <w:name w:val="عادي + (لاتيني) Microsoft Sans Serif، كشيدة صغيرة"/>
    <w:basedOn w:val="Normal"/>
    <w:link w:val="MicrosoftSansSerifChar"/>
    <w:rsid w:val="009B0A04"/>
    <w:pPr>
      <w:spacing w:after="0" w:line="240" w:lineRule="auto"/>
      <w:jc w:val="center"/>
    </w:pPr>
    <w:rPr>
      <w:rFonts w:ascii="Arial" w:eastAsia="Times New Roman" w:hAnsi="Arial" w:cs="Traditional Arabic"/>
      <w:sz w:val="40"/>
      <w:szCs w:val="40"/>
      <w:lang w:bidi="ar-SY"/>
    </w:rPr>
  </w:style>
  <w:style w:type="character" w:customStyle="1" w:styleId="MicrosoftSansSerifChar">
    <w:name w:val="عادي + (لاتيني) Microsoft Sans Serif، كشيدة صغيرة Char"/>
    <w:link w:val="MicrosoftSansSerif"/>
    <w:locked/>
    <w:rsid w:val="009B0A04"/>
    <w:rPr>
      <w:rFonts w:ascii="Arial" w:eastAsia="Times New Roman" w:hAnsi="Arial" w:cs="Traditional Arabic"/>
      <w:sz w:val="40"/>
      <w:szCs w:val="40"/>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oftSansSerif">
    <w:name w:val="عادي + (لاتيني) Microsoft Sans Serif، كشيدة صغيرة"/>
    <w:basedOn w:val="Normal"/>
    <w:link w:val="MicrosoftSansSerifChar"/>
    <w:rsid w:val="009B0A04"/>
    <w:pPr>
      <w:spacing w:after="0" w:line="240" w:lineRule="auto"/>
      <w:jc w:val="center"/>
    </w:pPr>
    <w:rPr>
      <w:rFonts w:ascii="Arial" w:eastAsia="Times New Roman" w:hAnsi="Arial" w:cs="Traditional Arabic"/>
      <w:sz w:val="40"/>
      <w:szCs w:val="40"/>
      <w:lang w:bidi="ar-SY"/>
    </w:rPr>
  </w:style>
  <w:style w:type="character" w:customStyle="1" w:styleId="MicrosoftSansSerifChar">
    <w:name w:val="عادي + (لاتيني) Microsoft Sans Serif، كشيدة صغيرة Char"/>
    <w:link w:val="MicrosoftSansSerif"/>
    <w:locked/>
    <w:rsid w:val="009B0A04"/>
    <w:rPr>
      <w:rFonts w:ascii="Arial" w:eastAsia="Times New Roman" w:hAnsi="Arial" w:cs="Traditional Arabic"/>
      <w:sz w:val="40"/>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Al-Waha</dc:creator>
  <cp:keywords/>
  <dc:description/>
  <cp:lastModifiedBy>Al-Waha</cp:lastModifiedBy>
  <cp:revision>2</cp:revision>
  <dcterms:created xsi:type="dcterms:W3CDTF">2021-11-29T22:24:00Z</dcterms:created>
  <dcterms:modified xsi:type="dcterms:W3CDTF">2021-11-30T19:02:00Z</dcterms:modified>
</cp:coreProperties>
</file>