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41" w:rsidRPr="00606065" w:rsidRDefault="00AA6641" w:rsidP="00AA6641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الوجود البريطاني في الملايو</w:t>
      </w:r>
    </w:p>
    <w:p w:rsidR="00AA6641" w:rsidRDefault="00AA6641" w:rsidP="00AA6641">
      <w:pPr>
        <w:jc w:val="both"/>
        <w:rPr>
          <w:rFonts w:asciiTheme="minorBidi" w:hAnsiTheme="minorBidi" w:cs="Arial"/>
          <w:sz w:val="32"/>
          <w:szCs w:val="32"/>
          <w:rtl/>
          <w:lang w:bidi="ar-IQ"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  <w:lang w:bidi="ar-IQ"/>
        </w:rPr>
        <w:t xml:space="preserve">   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 و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الثاني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كانون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الثاني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1874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حيث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وقعت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بريطانيا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مع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الزعماء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المحليين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يعرف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"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بمعاهدة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بانكور</w:t>
      </w:r>
      <w:proofErr w:type="spellStart"/>
      <w:r w:rsidRPr="00606065">
        <w:rPr>
          <w:rFonts w:asciiTheme="minorBidi" w:hAnsiTheme="minorBidi"/>
          <w:sz w:val="32"/>
          <w:szCs w:val="32"/>
          <w:lang w:bidi="ar-IQ"/>
        </w:rPr>
        <w:t>Pangkor</w:t>
      </w:r>
      <w:proofErr w:type="spellEnd"/>
      <w:r w:rsidRPr="00606065">
        <w:rPr>
          <w:rFonts w:asciiTheme="minorBidi" w:hAnsiTheme="minorBidi"/>
          <w:sz w:val="32"/>
          <w:szCs w:val="32"/>
          <w:lang w:bidi="ar-IQ"/>
        </w:rPr>
        <w:t>-Treaty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متذرعة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للتدخل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أعمال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الشغب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العرقية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التي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أخذت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تنشب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بعض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مناطق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الملايو،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فضلا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عن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التوجس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قيام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حرب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أهلية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ولاية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سيلانكور،وكانت</w:t>
      </w:r>
      <w:proofErr w:type="spellEnd"/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حجة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البريطانيين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06065">
        <w:rPr>
          <w:rFonts w:hint="cs"/>
          <w:rtl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ذلك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الوثيقة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التي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وقعها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مائتان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وخمسون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تاجراً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صينياً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يدعون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فيها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بريطانيا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إلى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ضرورة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التدخل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واتخاذ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إجراءات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سريعة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لحمايتهم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،ورغم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أن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الحكومة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البريطانية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صرحت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عام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1873 "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بأنها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ليست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لديها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الرغبة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بالتدخل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بالشؤون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الداخلية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للملايو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...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إلا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إنها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تجد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لزاماً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عليها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الحفاظ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على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تلك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الأراضي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من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الخراب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والدمار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إذا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استمرت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تلك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الاضطرابات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دون</w:t>
      </w:r>
      <w:r w:rsidRPr="00606065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رادع</w:t>
      </w:r>
      <w:r>
        <w:rPr>
          <w:rFonts w:asciiTheme="minorBidi" w:hAnsiTheme="minorBidi" w:cs="Arial"/>
          <w:sz w:val="32"/>
          <w:szCs w:val="32"/>
          <w:rtl/>
          <w:lang w:bidi="ar-IQ"/>
        </w:rPr>
        <w:t>"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وكان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الغرض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"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معاهدة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بانكور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>"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،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أخذ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رأي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المقيم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البريطاني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والعمل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بموجبها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بكل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الأمور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ماعدا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الإسلام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والعادات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الملايوية،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وفي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العام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نفسه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دخل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سلطان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سيلانكور</w:t>
      </w:r>
      <w:proofErr w:type="spellEnd"/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معاهدة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مشابهه،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كما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واتخذت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ترتيبات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متشابهه</w:t>
      </w:r>
      <w:proofErr w:type="spellEnd"/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مع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نيجيري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سيمبيلان</w:t>
      </w:r>
      <w:proofErr w:type="spellEnd"/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وباهانج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،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امتدت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سيطرة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البريطانيين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تدريجياً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على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بقية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أجزاء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الملايو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،رغم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الانتفاضات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التي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اندلعت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عام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1875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بيراك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وسيلانكور</w:t>
      </w:r>
      <w:proofErr w:type="spellEnd"/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ونيجيري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سيمبيلان</w:t>
      </w:r>
      <w:proofErr w:type="spellEnd"/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والتي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ناهضت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معاهدة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بانكور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،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إلا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أن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القوة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البريطانية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تمكنت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إخمادها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وبحلول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الربع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الأخير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من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القرن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التاسع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عشر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غدت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ولايات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الملايو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تحت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الحكم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البريطاني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غير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المباشر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الذي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تمثل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باستخدام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المستشارين</w:t>
      </w:r>
      <w:r w:rsidRPr="00606065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606065">
        <w:rPr>
          <w:rFonts w:asciiTheme="minorBidi" w:hAnsiTheme="minorBidi" w:cs="Arial" w:hint="cs"/>
          <w:sz w:val="32"/>
          <w:szCs w:val="32"/>
          <w:rtl/>
          <w:lang w:bidi="ar-IQ"/>
        </w:rPr>
        <w:t>المقيمين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>.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1"/>
      </w:r>
      <w:r w:rsidRPr="0013087D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اذ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مهدت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معاهدة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بانكور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الطريق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لتوسيع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نطاق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النفوذ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البريطاني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مناطق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الملايو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اذ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ارسلت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بريطانيا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الحاكم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الجديد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لسنغافورة</w:t>
      </w:r>
      <w:r w:rsidRPr="00475A8E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السير</w:t>
      </w:r>
      <w:r w:rsidRPr="00475A8E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أندرو</w:t>
      </w:r>
      <w:r w:rsidRPr="00475A8E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كلارك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مزودا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بتعليمات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التدخل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شؤونها،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واستطاع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هذا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الحاكم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بحنكته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السياسية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ان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يدعم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احد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زعماء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سلطنة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بي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>ر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اك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اسمه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عبد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الله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للوصول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الى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السلطة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،ومن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ثم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توقيع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معاهدة</w:t>
      </w:r>
      <w:r w:rsidRPr="00475A8E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صداقة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مع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بريطانيا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كانون</w:t>
      </w:r>
      <w:r w:rsidRPr="00475A8E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75A8E">
        <w:rPr>
          <w:rFonts w:asciiTheme="minorBidi" w:hAnsiTheme="minorBidi" w:cs="Arial" w:hint="cs"/>
          <w:sz w:val="32"/>
          <w:szCs w:val="32"/>
          <w:rtl/>
          <w:lang w:bidi="ar-IQ"/>
        </w:rPr>
        <w:t>الثاني</w:t>
      </w:r>
      <w:r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>1874م .</w:t>
      </w:r>
      <w:r>
        <w:rPr>
          <w:rStyle w:val="a4"/>
          <w:rFonts w:asciiTheme="minorBidi" w:hAnsiTheme="minorBidi" w:cs="Arial"/>
          <w:sz w:val="32"/>
          <w:szCs w:val="32"/>
          <w:rtl/>
          <w:lang w:bidi="ar-IQ"/>
        </w:rPr>
        <w:footnoteReference w:id="2"/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ارسل كلارك الضابط جيمس </w:t>
      </w:r>
      <w:proofErr w:type="spellStart"/>
      <w:r>
        <w:rPr>
          <w:rFonts w:asciiTheme="minorBidi" w:hAnsiTheme="minorBidi" w:cs="Arial" w:hint="cs"/>
          <w:sz w:val="32"/>
          <w:szCs w:val="32"/>
          <w:rtl/>
          <w:lang w:bidi="ar-IQ"/>
        </w:rPr>
        <w:t>بيرج</w:t>
      </w:r>
      <w:proofErr w:type="spellEnd"/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وما ان وصل الى السلطة بدا يتصرف وكانه حاكم البلاد ، وبدا يفرض الضرائب على الاهالي .</w:t>
      </w:r>
      <w:r>
        <w:rPr>
          <w:rStyle w:val="a4"/>
          <w:rFonts w:asciiTheme="minorBidi" w:hAnsiTheme="minorBidi" w:cs="Arial"/>
          <w:sz w:val="32"/>
          <w:szCs w:val="32"/>
          <w:rtl/>
          <w:lang w:bidi="ar-IQ"/>
        </w:rPr>
        <w:footnoteReference w:id="3"/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فقد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استطاع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جيمس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المغامر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البريطاني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البحري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التدخل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ص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>را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عات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مناطق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بروناي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proofErr w:type="spellStart"/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وماجاورها</w:t>
      </w:r>
      <w:proofErr w:type="spellEnd"/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عام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>1841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م،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ووقع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مع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الحكومة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البريطانية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على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اتفاقية</w:t>
      </w:r>
      <w:r w:rsidRPr="008E3970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حكم</w:t>
      </w:r>
      <w:r w:rsidRPr="008E3970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منطقة</w:t>
      </w:r>
      <w:r w:rsidRPr="008E3970">
        <w:rPr>
          <w:rFonts w:asciiTheme="minorBidi" w:hAnsiTheme="minorBidi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8E3970">
        <w:rPr>
          <w:rFonts w:asciiTheme="minorBidi" w:hAnsiTheme="minorBidi" w:cs="Arial" w:hint="cs"/>
          <w:b/>
          <w:bCs/>
          <w:sz w:val="32"/>
          <w:szCs w:val="32"/>
          <w:rtl/>
          <w:lang w:bidi="ar-IQ"/>
        </w:rPr>
        <w:t>كوتشينج</w:t>
      </w:r>
      <w:proofErr w:type="spellEnd"/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/>
          <w:sz w:val="32"/>
          <w:szCs w:val="32"/>
          <w:lang w:bidi="ar-IQ"/>
        </w:rPr>
        <w:t xml:space="preserve">Kuching 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والأر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>ا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ضي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المحاذية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وأعلن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نفسه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راجا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بمعنى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حاكم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لها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مباشرة،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وبموجب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المعاهدة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والاستيلاء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الفعلي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استطاع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تدريجيا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مد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نفوذه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الى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مناطق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اوسع،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lastRenderedPageBreak/>
        <w:t>واستمرت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هذه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العملية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على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عهد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ولده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تشارلز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بروك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واصبحت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تلك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الا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>را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ضي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تسمى</w:t>
      </w:r>
      <w:r w:rsidRPr="008E3970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اقليم</w:t>
      </w: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</w:t>
      </w:r>
      <w:proofErr w:type="spellStart"/>
      <w:r w:rsidRPr="008E3970">
        <w:rPr>
          <w:rFonts w:asciiTheme="minorBidi" w:hAnsiTheme="minorBidi" w:cs="Arial" w:hint="cs"/>
          <w:sz w:val="32"/>
          <w:szCs w:val="32"/>
          <w:rtl/>
          <w:lang w:bidi="ar-IQ"/>
        </w:rPr>
        <w:t>سارواك</w:t>
      </w:r>
      <w:proofErr w:type="spellEnd"/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.</w:t>
      </w:r>
      <w:r>
        <w:rPr>
          <w:rStyle w:val="a4"/>
          <w:rFonts w:asciiTheme="minorBidi" w:hAnsiTheme="minorBidi" w:cs="Arial"/>
          <w:sz w:val="32"/>
          <w:szCs w:val="32"/>
          <w:rtl/>
          <w:lang w:bidi="ar-IQ"/>
        </w:rPr>
        <w:footnoteReference w:id="4"/>
      </w:r>
    </w:p>
    <w:p w:rsidR="00752229" w:rsidRDefault="00752229">
      <w:pPr>
        <w:rPr>
          <w:lang w:bidi="ar-IQ"/>
        </w:rPr>
      </w:pPr>
      <w:bookmarkStart w:id="0" w:name="_GoBack"/>
      <w:bookmarkEnd w:id="0"/>
    </w:p>
    <w:sectPr w:rsidR="00752229" w:rsidSect="00AC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C6" w:rsidRDefault="005A05C6" w:rsidP="00AA6641">
      <w:pPr>
        <w:spacing w:after="0" w:line="240" w:lineRule="auto"/>
      </w:pPr>
      <w:r>
        <w:separator/>
      </w:r>
    </w:p>
  </w:endnote>
  <w:endnote w:type="continuationSeparator" w:id="0">
    <w:p w:rsidR="005A05C6" w:rsidRDefault="005A05C6" w:rsidP="00AA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C6" w:rsidRDefault="005A05C6" w:rsidP="00AA6641">
      <w:pPr>
        <w:spacing w:after="0" w:line="240" w:lineRule="auto"/>
      </w:pPr>
      <w:r>
        <w:separator/>
      </w:r>
    </w:p>
  </w:footnote>
  <w:footnote w:type="continuationSeparator" w:id="0">
    <w:p w:rsidR="005A05C6" w:rsidRDefault="005A05C6" w:rsidP="00AA6641">
      <w:pPr>
        <w:spacing w:after="0" w:line="240" w:lineRule="auto"/>
      </w:pPr>
      <w:r>
        <w:continuationSeparator/>
      </w:r>
    </w:p>
  </w:footnote>
  <w:footnote w:id="1">
    <w:p w:rsidR="00AA6641" w:rsidRPr="008E3970" w:rsidRDefault="00AA6641" w:rsidP="00AA6641">
      <w:pPr>
        <w:pStyle w:val="a3"/>
        <w:jc w:val="both"/>
        <w:rPr>
          <w:sz w:val="36"/>
          <w:szCs w:val="36"/>
          <w:vertAlign w:val="superscript"/>
          <w:rtl/>
        </w:rPr>
      </w:pPr>
      <w:r w:rsidRPr="008E3970">
        <w:rPr>
          <w:rStyle w:val="a4"/>
          <w:sz w:val="36"/>
          <w:szCs w:val="36"/>
        </w:rPr>
        <w:footnoteRef/>
      </w:r>
      <w:r w:rsidRPr="008E3970">
        <w:rPr>
          <w:sz w:val="36"/>
          <w:szCs w:val="36"/>
          <w:vertAlign w:val="superscript"/>
          <w:rtl/>
        </w:rPr>
        <w:t xml:space="preserve"> </w:t>
      </w:r>
      <w:r w:rsidRPr="008E3970">
        <w:rPr>
          <w:rFonts w:hint="cs"/>
          <w:sz w:val="36"/>
          <w:szCs w:val="36"/>
          <w:vertAlign w:val="superscript"/>
          <w:rtl/>
        </w:rPr>
        <w:t>. كاظم جواد احمد ، المصدر السابق ، ص 23 ـ 24 .</w:t>
      </w:r>
    </w:p>
  </w:footnote>
  <w:footnote w:id="2">
    <w:p w:rsidR="00AA6641" w:rsidRPr="008E3970" w:rsidRDefault="00AA6641" w:rsidP="00AA6641">
      <w:pPr>
        <w:pStyle w:val="a3"/>
        <w:jc w:val="both"/>
        <w:rPr>
          <w:sz w:val="36"/>
          <w:szCs w:val="36"/>
          <w:vertAlign w:val="superscript"/>
        </w:rPr>
      </w:pPr>
      <w:r w:rsidRPr="008E3970">
        <w:rPr>
          <w:rStyle w:val="a4"/>
          <w:sz w:val="36"/>
          <w:szCs w:val="36"/>
        </w:rPr>
        <w:footnoteRef/>
      </w:r>
      <w:r w:rsidRPr="008E3970">
        <w:rPr>
          <w:sz w:val="36"/>
          <w:szCs w:val="36"/>
          <w:vertAlign w:val="superscript"/>
          <w:rtl/>
        </w:rPr>
        <w:t xml:space="preserve"> </w:t>
      </w:r>
      <w:r w:rsidRPr="008E3970">
        <w:rPr>
          <w:rFonts w:hint="cs"/>
          <w:sz w:val="36"/>
          <w:szCs w:val="36"/>
          <w:vertAlign w:val="superscript"/>
          <w:rtl/>
        </w:rPr>
        <w:t>. ماهر جبار محمد علي الخليلي ، المصدر السابق ، ص 26.</w:t>
      </w:r>
    </w:p>
  </w:footnote>
  <w:footnote w:id="3">
    <w:p w:rsidR="00AA6641" w:rsidRPr="008E3970" w:rsidRDefault="00AA6641" w:rsidP="00AA6641">
      <w:pPr>
        <w:pStyle w:val="a3"/>
        <w:jc w:val="both"/>
        <w:rPr>
          <w:sz w:val="36"/>
          <w:szCs w:val="36"/>
          <w:vertAlign w:val="superscript"/>
        </w:rPr>
      </w:pPr>
      <w:r w:rsidRPr="008E3970">
        <w:rPr>
          <w:rStyle w:val="a4"/>
          <w:sz w:val="36"/>
          <w:szCs w:val="36"/>
        </w:rPr>
        <w:footnoteRef/>
      </w:r>
      <w:r w:rsidRPr="008E3970">
        <w:rPr>
          <w:sz w:val="36"/>
          <w:szCs w:val="36"/>
          <w:vertAlign w:val="superscript"/>
          <w:rtl/>
        </w:rPr>
        <w:t xml:space="preserve"> </w:t>
      </w:r>
      <w:r w:rsidRPr="008E3970">
        <w:rPr>
          <w:rFonts w:hint="cs"/>
          <w:sz w:val="36"/>
          <w:szCs w:val="36"/>
          <w:vertAlign w:val="superscript"/>
          <w:rtl/>
        </w:rPr>
        <w:t>. فايز صالح ابو جابر ، المصدر السابق ، ص 148 ـ 150 .</w:t>
      </w:r>
    </w:p>
  </w:footnote>
  <w:footnote w:id="4">
    <w:p w:rsidR="00AA6641" w:rsidRDefault="00AA6641" w:rsidP="00AA6641">
      <w:pPr>
        <w:pStyle w:val="a3"/>
        <w:jc w:val="both"/>
      </w:pPr>
      <w:r w:rsidRPr="008E3970">
        <w:rPr>
          <w:rStyle w:val="a4"/>
          <w:sz w:val="36"/>
          <w:szCs w:val="36"/>
        </w:rPr>
        <w:footnoteRef/>
      </w:r>
      <w:r w:rsidRPr="008E3970">
        <w:rPr>
          <w:sz w:val="36"/>
          <w:szCs w:val="36"/>
          <w:vertAlign w:val="superscript"/>
          <w:rtl/>
        </w:rPr>
        <w:t xml:space="preserve"> </w:t>
      </w:r>
      <w:r w:rsidRPr="008E3970">
        <w:rPr>
          <w:rFonts w:hint="cs"/>
          <w:sz w:val="36"/>
          <w:szCs w:val="36"/>
          <w:vertAlign w:val="superscript"/>
          <w:rtl/>
        </w:rPr>
        <w:t>. ماهر جبار محمد علي الخليلي ، المصدر السابق ، ص 26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41"/>
    <w:rsid w:val="005A05C6"/>
    <w:rsid w:val="00752229"/>
    <w:rsid w:val="00AA6641"/>
    <w:rsid w:val="00A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A664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A664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AA66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A664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A664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AA6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>Enjoy My Fine Releases.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2021-09-18T13:37:00Z</dcterms:created>
  <dcterms:modified xsi:type="dcterms:W3CDTF">2021-09-18T13:37:00Z</dcterms:modified>
</cp:coreProperties>
</file>