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8B" w:rsidRDefault="00926B8B" w:rsidP="00926B8B">
      <w:pPr>
        <w:ind w:left="-341"/>
        <w:rPr>
          <w:rFonts w:asciiTheme="minorBidi" w:hAnsiTheme="minorBidi"/>
          <w:sz w:val="32"/>
          <w:szCs w:val="32"/>
          <w:rtl/>
          <w:lang w:bidi="ar-IQ"/>
        </w:rPr>
      </w:pPr>
      <w:r w:rsidRPr="007822DF">
        <w:rPr>
          <w:rFonts w:ascii="Andalus" w:hAnsi="Andalus" w:cs="Andalus" w:hint="cs"/>
          <w:b/>
          <w:bCs/>
          <w:i/>
          <w:iCs/>
          <w:sz w:val="44"/>
          <w:szCs w:val="44"/>
          <w:rtl/>
          <w:lang w:bidi="ar-IQ"/>
        </w:rPr>
        <w:t xml:space="preserve">ـ المـــلايو </w:t>
      </w:r>
      <w:r>
        <w:rPr>
          <w:rFonts w:ascii="Andalus" w:hAnsi="Andalus" w:cs="Andalus" w:hint="cs"/>
          <w:b/>
          <w:bCs/>
          <w:i/>
          <w:iCs/>
          <w:sz w:val="44"/>
          <w:szCs w:val="44"/>
          <w:rtl/>
          <w:lang w:bidi="ar-IQ"/>
        </w:rPr>
        <w:t>:</w:t>
      </w:r>
    </w:p>
    <w:p w:rsidR="00926B8B" w:rsidRDefault="00926B8B" w:rsidP="00926B8B">
      <w:pPr>
        <w:ind w:left="-341"/>
        <w:jc w:val="both"/>
        <w:rPr>
          <w:rFonts w:asciiTheme="minorBidi" w:hAnsiTheme="minorBidi"/>
          <w:sz w:val="32"/>
          <w:szCs w:val="32"/>
          <w:vertAlign w:val="superscript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تقع الملايو في جنوب شرق اسيا ، يحدها من الشمال تايلند وبحر الصين وبروناي ، ومن الشرق مالقا ، ومن الغرب بحر صولو وسيليبس ، ومن الجنوب بحر جاوة وسنغافورة وبورينيو ، تبلغ مساحتها 329،845 ، تتالف من اربع ولايات ( </w:t>
      </w:r>
      <w:r w:rsidRPr="005065C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صباح ،سرواك ، نيجري بيلان ، بيانغ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، وتسع مماليك ( </w:t>
      </w:r>
      <w:r w:rsidRPr="005065C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جوهور ، قدح ، ملقا ، بيراك ، باهانغ ، كيلانتان ، برليس ، سيلانجور ، ترينجانو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 ، وثلاث اقاليم اتحادية ( </w:t>
      </w:r>
      <w:r w:rsidRPr="005065C3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كوالامبور ، لايوان ، بوترا جايا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) ، تتالف من قسمين القسم الاول : ماليزيا الغربية والثاني ماليزيا الشرقية 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1"/>
      </w:r>
    </w:p>
    <w:p w:rsidR="00926B8B" w:rsidRPr="00297324" w:rsidRDefault="00926B8B" w:rsidP="00926B8B">
      <w:pPr>
        <w:ind w:left="-341"/>
        <w:jc w:val="both"/>
        <w:rPr>
          <w:rFonts w:asciiTheme="minorBidi" w:hAnsiTheme="minorBidi"/>
          <w:sz w:val="32"/>
          <w:szCs w:val="32"/>
          <w:vertAlign w:val="superscript"/>
          <w:rtl/>
          <w:lang w:bidi="ar-IQ"/>
        </w:rPr>
      </w:pPr>
    </w:p>
    <w:p w:rsidR="00926B8B" w:rsidRDefault="00926B8B" w:rsidP="00926B8B">
      <w:pPr>
        <w:ind w:left="-341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تقع الملايو ضمن المنطقة الحارة ، ومناخها استوائي تحكمه الرياح الموسمية ، تبلغ درجات الحرارة على مدار السنة 27درجة مئوية ، وكذلك تهطل الامطار خلال الفصول الاربعة ، امــا الرطوبة عالية تبلغ 80 % ، الامر الذي ساعد على نمو العديد من النباتات الاستوائية . 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2"/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فضلا عن ذلك ، ينتمي سكان الملايو الى عناصر متعددة جاءت الى البلاد خلال العصور الوسطى ، واهمها الملايوي الذي ينتمي للجنس المغولي ، وهو اكثر العناصر شاناً وعدداً والتي تتركز في شبه جزيرة الملايو ، ويكون 48% من مجموع السكان ، وياتي العنصر الصيني في المركز الثاني بنسبة 38% من مجموع السكان ، في حين يشكل الهنود والباكستانيون نحو 8% ، امــا باقي السكان الذين يمثلون نحو 12% من اجمالي العدد 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3"/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دخل الاسلام الى الملايو عن طريق التجارة بين المسلمين وشبه جزيرة الملايو ، وفي عام 675هـ اسلم محمد شاه وتبعه رعاياه 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4"/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تعتبر ( الملايوية ) هي اللغة الرسمية والقومية في ماليزيا الغربية وتشاركها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الانجليزية في ماليزيا الشرقية ، فيكونان اللغة الرسمية للبلاد ، وهناك ايضاً اللغة الصينية والعربية 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5"/>
      </w:r>
    </w:p>
    <w:p w:rsidR="00926B8B" w:rsidRPr="00A24F77" w:rsidRDefault="00926B8B" w:rsidP="00926B8B">
      <w:pPr>
        <w:ind w:left="-341"/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26B8B" w:rsidRDefault="00926B8B" w:rsidP="00926B8B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cs="Arial" w:hint="cs"/>
          <w:sz w:val="32"/>
          <w:szCs w:val="32"/>
          <w:rtl/>
          <w:lang w:bidi="ar-IQ"/>
        </w:rPr>
        <w:t xml:space="preserve">     مهما يكن من امر ،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غدا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المحيط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الهندي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القرن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السابع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عشر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نقطة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محورية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التنافس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الغربي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بين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الدول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الأوروبية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والمتمثلة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بالتنافس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الهولندي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والفرنسي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والانكليزي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،وكان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هذا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التنافس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مترافقاً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مع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تطورات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الأحداث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أوروبا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6"/>
      </w:r>
      <w:r>
        <w:rPr>
          <w:rFonts w:asciiTheme="minorBidi" w:hAnsiTheme="minorBidi" w:hint="cs"/>
          <w:sz w:val="32"/>
          <w:szCs w:val="32"/>
          <w:rtl/>
          <w:lang w:bidi="ar-IQ"/>
        </w:rPr>
        <w:t>بدأت المصالح الانكليزية في البلاد من الناحية التجارية ، اذ كانت شركة الهند الشرقية الانكليزية بحاجة الى مركز تجاري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لجمع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التوابل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الهندية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وكذلك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مرفأ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لتصليح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السفن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والحصول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المياه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الصالحة</w:t>
      </w:r>
      <w:r w:rsidRPr="004574D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4574D4">
        <w:rPr>
          <w:rFonts w:asciiTheme="minorBidi" w:hAnsiTheme="minorBidi" w:cs="Arial" w:hint="cs"/>
          <w:sz w:val="32"/>
          <w:szCs w:val="32"/>
          <w:rtl/>
          <w:lang w:bidi="ar-IQ"/>
        </w:rPr>
        <w:t>للشرب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فابحر القبطان البريطاني فرنسيس لايت من الهند الى سلطنة قدح عام 1771 ، وعقد مع سلطانها </w:t>
      </w:r>
      <w:r w:rsidRPr="00777324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معاهدة استئجار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جزيرة بينانغ في مضيق ملقا 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7"/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وفي عام 1776 تملك فرنسيس لايت الجزيرة من سلطانها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مقابل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حصوله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على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المساعدات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العسكرية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إذا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ما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تعرض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لأي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خطر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خارجي،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لتحتل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بينانغ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أعقاب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ذلك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المركز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الأول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في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الملايو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والذي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يدار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بالقانون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البريطاني،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ثم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لتغدو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ميناء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حر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لجميع</w:t>
      </w:r>
      <w:r w:rsidRPr="00777324">
        <w:rPr>
          <w:rFonts w:asciiTheme="minorBidi" w:hAnsiTheme="minorBidi" w:cs="Arial"/>
          <w:sz w:val="32"/>
          <w:szCs w:val="32"/>
          <w:rtl/>
          <w:lang w:bidi="ar-IQ"/>
        </w:rPr>
        <w:t xml:space="preserve"> </w:t>
      </w:r>
      <w:r w:rsidRPr="00777324">
        <w:rPr>
          <w:rFonts w:asciiTheme="minorBidi" w:hAnsiTheme="minorBidi" w:cs="Arial" w:hint="cs"/>
          <w:sz w:val="32"/>
          <w:szCs w:val="32"/>
          <w:rtl/>
          <w:lang w:bidi="ar-IQ"/>
        </w:rPr>
        <w:t>الدول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، بعد عام 1791 حاول حاكم قدح استعادة الجزيرة ، لكن الشركة الانكليزية قامت باستقطاع بيانغ بايجار سنوي قدره عشرة الاف دولار ماليزي 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8"/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والجدير بالذكر ، ان سلطنة قدح كانت تعترف بسيادة ملوك تايلند عليها لكن عندما علمت تايند بما جرى بين السلطان قدح ومندوب الشركة الانكليزية فرنسيس لايت احتجت وطلبت من الشركة التراجع عن الاتفاقية ، ولما رفض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السلطان مطالب تايلند ، ارسلت الاخيرة حملة عسكرية واحتلت قدح ، وظلت تابعة لها حتى عام 1909.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9"/>
      </w:r>
    </w:p>
    <w:p w:rsidR="00926B8B" w:rsidRDefault="00926B8B" w:rsidP="00926B8B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26B8B" w:rsidRDefault="00926B8B" w:rsidP="00926B8B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926B8B" w:rsidRPr="00606065" w:rsidRDefault="00926B8B" w:rsidP="00926B8B">
      <w:pPr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والجدير بالذكر ، ان في عام 1873 انتقلت سلطة المستعمرات من شركة الهند الشرقية البريطانية الى الادارة البريطانية مباشرة ، التي باشرت بالتدخل في شؤؤن الملايو واستعمار البلاد ؛ نتيجة لافتتاح قناة السويس 1869 وبروز دول منافسة لبريطانيا في جنوب شرق اسيا ، والاهم هو زيادة الطلب على معدن القصدير المستخرج من مناجم الملايو . </w:t>
      </w:r>
      <w:r>
        <w:rPr>
          <w:rStyle w:val="a4"/>
          <w:rFonts w:asciiTheme="minorBidi" w:hAnsiTheme="minorBidi"/>
          <w:sz w:val="32"/>
          <w:szCs w:val="32"/>
          <w:rtl/>
          <w:lang w:bidi="ar-IQ"/>
        </w:rPr>
        <w:footnoteReference w:id="10"/>
      </w:r>
    </w:p>
    <w:p w:rsidR="00752229" w:rsidRDefault="00752229">
      <w:pPr>
        <w:rPr>
          <w:lang w:bidi="ar-IQ"/>
        </w:rPr>
      </w:pPr>
      <w:bookmarkStart w:id="0" w:name="_GoBack"/>
      <w:bookmarkEnd w:id="0"/>
    </w:p>
    <w:sectPr w:rsidR="00752229" w:rsidSect="00AC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13" w:rsidRDefault="008C3D13" w:rsidP="00926B8B">
      <w:pPr>
        <w:spacing w:after="0" w:line="240" w:lineRule="auto"/>
      </w:pPr>
      <w:r>
        <w:separator/>
      </w:r>
    </w:p>
  </w:endnote>
  <w:endnote w:type="continuationSeparator" w:id="0">
    <w:p w:rsidR="008C3D13" w:rsidRDefault="008C3D13" w:rsidP="0092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13" w:rsidRDefault="008C3D13" w:rsidP="00926B8B">
      <w:pPr>
        <w:spacing w:after="0" w:line="240" w:lineRule="auto"/>
      </w:pPr>
      <w:r>
        <w:separator/>
      </w:r>
    </w:p>
  </w:footnote>
  <w:footnote w:type="continuationSeparator" w:id="0">
    <w:p w:rsidR="008C3D13" w:rsidRDefault="008C3D13" w:rsidP="00926B8B">
      <w:pPr>
        <w:spacing w:after="0" w:line="240" w:lineRule="auto"/>
      </w:pPr>
      <w:r>
        <w:continuationSeparator/>
      </w:r>
    </w:p>
  </w:footnote>
  <w:footnote w:id="1">
    <w:p w:rsidR="00926B8B" w:rsidRPr="00297324" w:rsidRDefault="00926B8B" w:rsidP="00926B8B">
      <w:pPr>
        <w:pStyle w:val="a3"/>
        <w:jc w:val="both"/>
        <w:rPr>
          <w:sz w:val="36"/>
          <w:szCs w:val="36"/>
          <w:vertAlign w:val="superscript"/>
          <w:rtl/>
          <w:lang w:bidi="ar-IQ"/>
        </w:rPr>
      </w:pPr>
      <w:r w:rsidRPr="00297324">
        <w:rPr>
          <w:rStyle w:val="a4"/>
          <w:sz w:val="36"/>
          <w:szCs w:val="36"/>
        </w:rPr>
        <w:footnoteRef/>
      </w:r>
      <w:r w:rsidRPr="00297324">
        <w:rPr>
          <w:rFonts w:hint="cs"/>
          <w:sz w:val="36"/>
          <w:szCs w:val="36"/>
          <w:vertAlign w:val="superscript"/>
          <w:rtl/>
          <w:lang w:bidi="ar-IQ"/>
        </w:rPr>
        <w:t xml:space="preserve">. حاج ابراهيم عبد الرحمان ، مسيرة الاقتصاد الاسلامي في ماليزيا من خلال افكار محمد مهاتير ، </w:t>
      </w:r>
    </w:p>
  </w:footnote>
  <w:footnote w:id="2">
    <w:p w:rsidR="00926B8B" w:rsidRPr="00297324" w:rsidRDefault="00926B8B" w:rsidP="00926B8B">
      <w:pPr>
        <w:pStyle w:val="a3"/>
        <w:jc w:val="both"/>
        <w:rPr>
          <w:sz w:val="36"/>
          <w:szCs w:val="36"/>
          <w:vertAlign w:val="superscript"/>
          <w:rtl/>
          <w:lang w:bidi="ar-IQ"/>
        </w:rPr>
      </w:pPr>
      <w:r w:rsidRPr="00297324">
        <w:rPr>
          <w:rStyle w:val="a4"/>
          <w:sz w:val="36"/>
          <w:szCs w:val="36"/>
        </w:rPr>
        <w:footnoteRef/>
      </w:r>
      <w:r w:rsidRPr="00297324">
        <w:rPr>
          <w:rFonts w:hint="cs"/>
          <w:sz w:val="36"/>
          <w:szCs w:val="36"/>
          <w:vertAlign w:val="superscript"/>
          <w:rtl/>
        </w:rPr>
        <w:t>.</w:t>
      </w:r>
      <w:r w:rsidRPr="00297324">
        <w:rPr>
          <w:sz w:val="36"/>
          <w:szCs w:val="36"/>
          <w:vertAlign w:val="superscript"/>
          <w:rtl/>
        </w:rPr>
        <w:t xml:space="preserve"> </w:t>
      </w:r>
      <w:r w:rsidRPr="00297324">
        <w:rPr>
          <w:rFonts w:hint="cs"/>
          <w:sz w:val="36"/>
          <w:szCs w:val="36"/>
          <w:vertAlign w:val="superscript"/>
          <w:rtl/>
          <w:lang w:bidi="ar-IQ"/>
        </w:rPr>
        <w:t>سعد ابراهيم كريدية ، ماليزيا للقارى العربي ، ط1 ، 1996 ، ص 6 .</w:t>
      </w:r>
    </w:p>
  </w:footnote>
  <w:footnote w:id="3">
    <w:p w:rsidR="00926B8B" w:rsidRPr="00297324" w:rsidRDefault="00926B8B" w:rsidP="00926B8B">
      <w:pPr>
        <w:pStyle w:val="a3"/>
        <w:jc w:val="both"/>
        <w:rPr>
          <w:sz w:val="36"/>
          <w:szCs w:val="36"/>
          <w:vertAlign w:val="superscript"/>
          <w:rtl/>
          <w:lang w:bidi="ar-IQ"/>
        </w:rPr>
      </w:pPr>
      <w:r w:rsidRPr="00297324">
        <w:rPr>
          <w:rStyle w:val="a4"/>
          <w:sz w:val="36"/>
          <w:szCs w:val="36"/>
        </w:rPr>
        <w:footnoteRef/>
      </w:r>
      <w:r w:rsidRPr="00297324">
        <w:rPr>
          <w:rFonts w:hint="cs"/>
          <w:sz w:val="36"/>
          <w:szCs w:val="36"/>
          <w:vertAlign w:val="superscript"/>
          <w:rtl/>
        </w:rPr>
        <w:t>. علي احمد هارون وجودة حسين جودة ، جغرافية الدول الاسلامية ، دار المعارف ، الاسكندرية ، 1999 ، ص 520 .</w:t>
      </w:r>
    </w:p>
  </w:footnote>
  <w:footnote w:id="4">
    <w:p w:rsidR="00926B8B" w:rsidRPr="00244FA8" w:rsidRDefault="00926B8B" w:rsidP="00926B8B">
      <w:pPr>
        <w:pStyle w:val="a3"/>
        <w:rPr>
          <w:vertAlign w:val="superscript"/>
          <w:lang w:bidi="ar-IQ"/>
        </w:rPr>
      </w:pPr>
      <w:r w:rsidRPr="00244FA8">
        <w:rPr>
          <w:rStyle w:val="a4"/>
          <w:sz w:val="36"/>
          <w:szCs w:val="36"/>
        </w:rPr>
        <w:footnoteRef/>
      </w:r>
      <w:r w:rsidRPr="00244FA8">
        <w:rPr>
          <w:sz w:val="36"/>
          <w:szCs w:val="36"/>
          <w:vertAlign w:val="superscript"/>
          <w:rtl/>
        </w:rPr>
        <w:t xml:space="preserve"> </w:t>
      </w:r>
      <w:r w:rsidRPr="00244FA8">
        <w:rPr>
          <w:rFonts w:hint="cs"/>
          <w:sz w:val="36"/>
          <w:szCs w:val="36"/>
          <w:vertAlign w:val="superscript"/>
          <w:rtl/>
          <w:lang w:bidi="ar-IQ"/>
        </w:rPr>
        <w:t>. اسماعيل ياغي ومحمود شاكر ، تاريخ الاسلام الحديث والمعاصر ، دار المريخ للنشر ، الرياض ، 1995 ، ص 282 .</w:t>
      </w:r>
    </w:p>
  </w:footnote>
  <w:footnote w:id="5">
    <w:p w:rsidR="00926B8B" w:rsidRDefault="00926B8B" w:rsidP="00926B8B">
      <w:pPr>
        <w:pStyle w:val="a3"/>
        <w:jc w:val="both"/>
        <w:rPr>
          <w:rtl/>
          <w:lang w:bidi="ar-IQ"/>
        </w:rPr>
      </w:pPr>
      <w:r w:rsidRPr="00297324">
        <w:rPr>
          <w:rStyle w:val="a4"/>
          <w:sz w:val="36"/>
          <w:szCs w:val="36"/>
        </w:rPr>
        <w:footnoteRef/>
      </w:r>
      <w:r w:rsidRPr="00297324">
        <w:rPr>
          <w:rFonts w:hint="cs"/>
          <w:sz w:val="36"/>
          <w:szCs w:val="36"/>
          <w:vertAlign w:val="superscript"/>
          <w:rtl/>
        </w:rPr>
        <w:t>. محمد السيد غلاب واخرون ، البلدان الاسلامية والاقليات المسلمة في العالم المعاصر ، جامعة الامام  محمد بن سعود الاسلامية ، رياض ، 1979 ، ص 290 ـ 291 .</w:t>
      </w:r>
    </w:p>
    <w:p w:rsidR="00926B8B" w:rsidRDefault="00926B8B" w:rsidP="00926B8B">
      <w:pPr>
        <w:pStyle w:val="a3"/>
        <w:jc w:val="both"/>
        <w:rPr>
          <w:rtl/>
          <w:lang w:bidi="ar-IQ"/>
        </w:rPr>
      </w:pPr>
    </w:p>
    <w:p w:rsidR="00926B8B" w:rsidRDefault="00926B8B" w:rsidP="00926B8B">
      <w:pPr>
        <w:pStyle w:val="a3"/>
        <w:jc w:val="both"/>
        <w:rPr>
          <w:rtl/>
          <w:lang w:bidi="ar-IQ"/>
        </w:rPr>
      </w:pPr>
    </w:p>
  </w:footnote>
  <w:footnote w:id="6">
    <w:p w:rsidR="00926B8B" w:rsidRPr="002D5210" w:rsidRDefault="00926B8B" w:rsidP="00926B8B">
      <w:pPr>
        <w:pStyle w:val="a3"/>
        <w:jc w:val="both"/>
        <w:rPr>
          <w:sz w:val="36"/>
          <w:szCs w:val="36"/>
          <w:vertAlign w:val="superscript"/>
        </w:rPr>
      </w:pPr>
      <w:r w:rsidRPr="002D5210">
        <w:rPr>
          <w:rStyle w:val="a4"/>
          <w:sz w:val="36"/>
          <w:szCs w:val="36"/>
        </w:rPr>
        <w:footnoteRef/>
      </w:r>
      <w:r w:rsidRPr="002D5210">
        <w:rPr>
          <w:sz w:val="36"/>
          <w:szCs w:val="36"/>
          <w:vertAlign w:val="superscript"/>
          <w:rtl/>
        </w:rPr>
        <w:t xml:space="preserve"> </w:t>
      </w:r>
      <w:r w:rsidRPr="002D5210">
        <w:rPr>
          <w:rFonts w:hint="cs"/>
          <w:sz w:val="36"/>
          <w:szCs w:val="36"/>
          <w:vertAlign w:val="superscript"/>
          <w:rtl/>
        </w:rPr>
        <w:t xml:space="preserve">. </w:t>
      </w:r>
      <w:r w:rsidRPr="002D5210">
        <w:rPr>
          <w:rFonts w:cs="Arial" w:hint="cs"/>
          <w:sz w:val="36"/>
          <w:szCs w:val="36"/>
          <w:vertAlign w:val="superscript"/>
          <w:rtl/>
        </w:rPr>
        <w:t>كاظم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جواد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أحمد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الهيازعي</w:t>
      </w:r>
      <w:r w:rsidRPr="002D5210">
        <w:rPr>
          <w:rFonts w:hint="cs"/>
          <w:sz w:val="36"/>
          <w:szCs w:val="36"/>
          <w:vertAlign w:val="superscript"/>
          <w:rtl/>
        </w:rPr>
        <w:t xml:space="preserve"> ، </w:t>
      </w:r>
      <w:r w:rsidRPr="002D5210">
        <w:rPr>
          <w:rFonts w:cs="Arial" w:hint="cs"/>
          <w:sz w:val="36"/>
          <w:szCs w:val="36"/>
          <w:vertAlign w:val="superscript"/>
          <w:rtl/>
        </w:rPr>
        <w:t>سياسة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الولايات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المتحدة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الأمريكية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تجاه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الملايو</w:t>
      </w:r>
      <w:r w:rsidRPr="002D5210">
        <w:rPr>
          <w:rFonts w:cs="Arial"/>
          <w:sz w:val="36"/>
          <w:szCs w:val="36"/>
          <w:vertAlign w:val="superscript"/>
          <w:rtl/>
        </w:rPr>
        <w:t>(</w:t>
      </w:r>
      <w:r w:rsidRPr="002D5210">
        <w:rPr>
          <w:rFonts w:cs="Arial" w:hint="cs"/>
          <w:sz w:val="36"/>
          <w:szCs w:val="36"/>
          <w:vertAlign w:val="superscript"/>
          <w:rtl/>
        </w:rPr>
        <w:t>ماليزيا</w:t>
      </w:r>
      <w:r w:rsidRPr="002D5210">
        <w:rPr>
          <w:rFonts w:cs="Arial"/>
          <w:sz w:val="36"/>
          <w:szCs w:val="36"/>
          <w:vertAlign w:val="superscript"/>
          <w:rtl/>
        </w:rPr>
        <w:t>) 1945-1981</w:t>
      </w:r>
      <w:r w:rsidRPr="002D5210">
        <w:rPr>
          <w:rFonts w:cs="Arial" w:hint="cs"/>
          <w:sz w:val="36"/>
          <w:szCs w:val="36"/>
          <w:vertAlign w:val="superscript"/>
          <w:rtl/>
        </w:rPr>
        <w:t xml:space="preserve"> ، اطروحة دكتوراة ، كلية التربية ابن رشد ، جامعة بغداد ، 2015 ، ص</w:t>
      </w:r>
      <w:r w:rsidRPr="002D5210">
        <w:rPr>
          <w:rFonts w:hint="cs"/>
          <w:sz w:val="36"/>
          <w:szCs w:val="36"/>
          <w:vertAlign w:val="superscript"/>
          <w:rtl/>
        </w:rPr>
        <w:t xml:space="preserve"> 20 .</w:t>
      </w:r>
    </w:p>
  </w:footnote>
  <w:footnote w:id="7">
    <w:p w:rsidR="00926B8B" w:rsidRPr="002D5210" w:rsidRDefault="00926B8B" w:rsidP="00926B8B">
      <w:pPr>
        <w:pStyle w:val="a3"/>
        <w:jc w:val="both"/>
        <w:rPr>
          <w:sz w:val="36"/>
          <w:szCs w:val="36"/>
          <w:vertAlign w:val="superscript"/>
          <w:lang w:bidi="ar-IQ"/>
        </w:rPr>
      </w:pPr>
      <w:r w:rsidRPr="002D5210">
        <w:rPr>
          <w:rStyle w:val="a4"/>
          <w:sz w:val="36"/>
          <w:szCs w:val="36"/>
        </w:rPr>
        <w:footnoteRef/>
      </w:r>
      <w:r w:rsidRPr="002D5210">
        <w:rPr>
          <w:sz w:val="36"/>
          <w:szCs w:val="36"/>
          <w:vertAlign w:val="superscript"/>
          <w:rtl/>
        </w:rPr>
        <w:t xml:space="preserve"> </w:t>
      </w:r>
      <w:r w:rsidRPr="002D5210">
        <w:rPr>
          <w:rFonts w:hint="cs"/>
          <w:sz w:val="36"/>
          <w:szCs w:val="36"/>
          <w:vertAlign w:val="superscript"/>
          <w:rtl/>
          <w:lang w:bidi="ar-IQ"/>
        </w:rPr>
        <w:t xml:space="preserve">. </w:t>
      </w:r>
      <w:r w:rsidRPr="002D5210">
        <w:rPr>
          <w:rFonts w:cs="Arial" w:hint="cs"/>
          <w:b/>
          <w:bCs/>
          <w:sz w:val="36"/>
          <w:szCs w:val="36"/>
          <w:vertAlign w:val="superscript"/>
          <w:rtl/>
          <w:lang w:bidi="ar-IQ"/>
        </w:rPr>
        <w:t>بينانج</w:t>
      </w:r>
      <w:r w:rsidRPr="002D5210">
        <w:rPr>
          <w:rFonts w:cs="Arial"/>
          <w:b/>
          <w:bCs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: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تقع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قبالة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الساحل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الغربي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لشبه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جزيرة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الملايو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وتبلغ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مساحتها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1031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كم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،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وعدد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سكانها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 xml:space="preserve">5،1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مليون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 xml:space="preserve">حسب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تقدير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ا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ت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 xml:space="preserve">2005 ،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منهم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أكثر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من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45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%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صينيين،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مما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يجعلها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المدينة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الوحيدة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ذات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الغالبية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الصينية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في</w:t>
      </w:r>
      <w:r>
        <w:rPr>
          <w:rFonts w:hint="cs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ماليزيا،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أصبحت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بينانج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عاصمة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لمستوطنات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المضيق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البريطانية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عام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1826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وفي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عام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1867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وأصبحت</w:t>
      </w:r>
      <w:r>
        <w:rPr>
          <w:rFonts w:hint="cs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مستعمرة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للتاج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البريطاني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تعد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مركز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لمناجم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القصدير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ومز</w:t>
      </w:r>
      <w:r>
        <w:rPr>
          <w:rFonts w:cs="Arial" w:hint="cs"/>
          <w:sz w:val="36"/>
          <w:szCs w:val="36"/>
          <w:vertAlign w:val="superscript"/>
          <w:rtl/>
          <w:lang w:bidi="ar-IQ"/>
        </w:rPr>
        <w:t>ا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رع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المطاط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وفيها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عدد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كبير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من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شركات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الشحن</w:t>
      </w:r>
      <w:r>
        <w:rPr>
          <w:rFonts w:hint="cs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والتأمين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والمصارف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وأهم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مدنها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عاصمتها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جورج</w:t>
      </w:r>
      <w:r w:rsidRPr="002D5210">
        <w:rPr>
          <w:rFonts w:cs="Arial"/>
          <w:sz w:val="36"/>
          <w:szCs w:val="36"/>
          <w:vertAlign w:val="superscript"/>
          <w:rtl/>
          <w:lang w:bidi="ar-IQ"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  <w:lang w:bidi="ar-IQ"/>
        </w:rPr>
        <w:t>تاون</w:t>
      </w:r>
      <w:r>
        <w:rPr>
          <w:rFonts w:hint="cs"/>
          <w:sz w:val="36"/>
          <w:szCs w:val="36"/>
          <w:vertAlign w:val="superscript"/>
          <w:rtl/>
          <w:lang w:bidi="ar-IQ"/>
        </w:rPr>
        <w:t xml:space="preserve"> . للمزيد ينظر : ماهر جبار محمد علي الخليلي ، مهاتير محمد ودوره في تحديث ماليزيا ( 1969 ـ 1991 ) ، اطروحة دكتوراة ، كلية الاداب ، جامعة بغداد ، 2014 ، ص 23 .</w:t>
      </w:r>
    </w:p>
  </w:footnote>
  <w:footnote w:id="8">
    <w:p w:rsidR="00926B8B" w:rsidRPr="002D5210" w:rsidRDefault="00926B8B" w:rsidP="00926B8B">
      <w:pPr>
        <w:pStyle w:val="a3"/>
        <w:jc w:val="both"/>
        <w:rPr>
          <w:vertAlign w:val="superscript"/>
          <w:rtl/>
        </w:rPr>
      </w:pPr>
      <w:r w:rsidRPr="002D5210">
        <w:rPr>
          <w:rStyle w:val="a4"/>
          <w:sz w:val="36"/>
          <w:szCs w:val="36"/>
        </w:rPr>
        <w:footnoteRef/>
      </w:r>
      <w:r w:rsidRPr="002D5210">
        <w:rPr>
          <w:sz w:val="36"/>
          <w:szCs w:val="36"/>
          <w:vertAlign w:val="superscript"/>
          <w:rtl/>
        </w:rPr>
        <w:t xml:space="preserve"> </w:t>
      </w:r>
      <w:r w:rsidRPr="002D5210">
        <w:rPr>
          <w:rFonts w:hint="cs"/>
          <w:sz w:val="36"/>
          <w:szCs w:val="36"/>
          <w:vertAlign w:val="superscript"/>
          <w:rtl/>
        </w:rPr>
        <w:t>. محمود شاكر ، مواطن الشعوب الاسلامية في اسيا اتحاد ماليزيا ، ج6 ، ط7 ، المكتب الاسلامي ، بيروت ، 1989 ، ص 36ـ37.</w:t>
      </w:r>
    </w:p>
  </w:footnote>
  <w:footnote w:id="9">
    <w:p w:rsidR="00926B8B" w:rsidRDefault="00926B8B" w:rsidP="00926B8B">
      <w:pPr>
        <w:pStyle w:val="a3"/>
        <w:jc w:val="both"/>
        <w:rPr>
          <w:sz w:val="36"/>
          <w:szCs w:val="36"/>
          <w:vertAlign w:val="superscript"/>
          <w:rtl/>
        </w:rPr>
      </w:pPr>
      <w:r w:rsidRPr="002D5210">
        <w:rPr>
          <w:rStyle w:val="a4"/>
          <w:sz w:val="36"/>
          <w:szCs w:val="36"/>
        </w:rPr>
        <w:footnoteRef/>
      </w:r>
      <w:r w:rsidRPr="002D5210">
        <w:rPr>
          <w:sz w:val="36"/>
          <w:szCs w:val="36"/>
          <w:vertAlign w:val="superscript"/>
          <w:rtl/>
        </w:rPr>
        <w:t xml:space="preserve"> </w:t>
      </w:r>
      <w:r w:rsidRPr="002D5210">
        <w:rPr>
          <w:rFonts w:hint="cs"/>
          <w:sz w:val="36"/>
          <w:szCs w:val="36"/>
          <w:vertAlign w:val="superscript"/>
          <w:rtl/>
        </w:rPr>
        <w:t>.فايز صالح ابو جابر ،</w:t>
      </w:r>
      <w:r w:rsidRPr="002D5210">
        <w:rPr>
          <w:rFonts w:cs="Arial" w:hint="cs"/>
          <w:sz w:val="36"/>
          <w:szCs w:val="36"/>
          <w:vertAlign w:val="superscript"/>
          <w:rtl/>
        </w:rPr>
        <w:t>،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الاستعمار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في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جنوب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شرق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اسيا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،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دار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البشير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،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عمان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</w:t>
      </w:r>
      <w:r w:rsidRPr="002D5210">
        <w:rPr>
          <w:rFonts w:cs="Arial" w:hint="cs"/>
          <w:sz w:val="36"/>
          <w:szCs w:val="36"/>
          <w:vertAlign w:val="superscript"/>
          <w:rtl/>
        </w:rPr>
        <w:t>،</w:t>
      </w:r>
      <w:r w:rsidRPr="002D5210">
        <w:rPr>
          <w:rFonts w:cs="Arial"/>
          <w:sz w:val="36"/>
          <w:szCs w:val="36"/>
          <w:vertAlign w:val="superscript"/>
          <w:rtl/>
        </w:rPr>
        <w:t xml:space="preserve"> 1990</w:t>
      </w:r>
      <w:r w:rsidRPr="002D5210">
        <w:rPr>
          <w:rFonts w:hint="cs"/>
          <w:sz w:val="36"/>
          <w:szCs w:val="36"/>
          <w:vertAlign w:val="superscript"/>
          <w:rtl/>
        </w:rPr>
        <w:t xml:space="preserve"> ، ص 142 .</w:t>
      </w:r>
    </w:p>
    <w:p w:rsidR="00926B8B" w:rsidRDefault="00926B8B" w:rsidP="00926B8B">
      <w:pPr>
        <w:pStyle w:val="a3"/>
        <w:jc w:val="both"/>
        <w:rPr>
          <w:sz w:val="36"/>
          <w:szCs w:val="36"/>
          <w:vertAlign w:val="superscript"/>
          <w:rtl/>
        </w:rPr>
      </w:pPr>
    </w:p>
    <w:p w:rsidR="00926B8B" w:rsidRPr="002D5210" w:rsidRDefault="00926B8B" w:rsidP="00926B8B">
      <w:pPr>
        <w:pStyle w:val="a3"/>
        <w:jc w:val="both"/>
        <w:rPr>
          <w:sz w:val="36"/>
          <w:szCs w:val="36"/>
          <w:vertAlign w:val="superscript"/>
        </w:rPr>
      </w:pPr>
    </w:p>
  </w:footnote>
  <w:footnote w:id="10">
    <w:p w:rsidR="00926B8B" w:rsidRPr="0028196E" w:rsidRDefault="00926B8B" w:rsidP="00926B8B">
      <w:pPr>
        <w:pStyle w:val="a3"/>
        <w:rPr>
          <w:sz w:val="36"/>
          <w:szCs w:val="36"/>
          <w:vertAlign w:val="superscript"/>
          <w:rtl/>
          <w:lang w:bidi="ar-IQ"/>
        </w:rPr>
      </w:pPr>
      <w:r w:rsidRPr="0028196E">
        <w:rPr>
          <w:rStyle w:val="a4"/>
          <w:sz w:val="36"/>
          <w:szCs w:val="36"/>
        </w:rPr>
        <w:footnoteRef/>
      </w:r>
      <w:r w:rsidRPr="0028196E">
        <w:rPr>
          <w:sz w:val="36"/>
          <w:szCs w:val="36"/>
          <w:vertAlign w:val="superscript"/>
          <w:rtl/>
        </w:rPr>
        <w:t xml:space="preserve"> </w:t>
      </w:r>
      <w:r w:rsidRPr="0028196E">
        <w:rPr>
          <w:rFonts w:hint="cs"/>
          <w:sz w:val="36"/>
          <w:szCs w:val="36"/>
          <w:vertAlign w:val="superscript"/>
          <w:rtl/>
          <w:lang w:bidi="ar-IQ"/>
        </w:rPr>
        <w:t>. فايز صالح اب</w:t>
      </w:r>
      <w:r>
        <w:rPr>
          <w:rFonts w:hint="cs"/>
          <w:sz w:val="36"/>
          <w:szCs w:val="36"/>
          <w:vertAlign w:val="superscript"/>
          <w:rtl/>
          <w:lang w:bidi="ar-IQ"/>
        </w:rPr>
        <w:t>و جابر ، المصدر السابق ، ص 147 ؛ سعيد ابراهيم كريدية ، المصدر السابق ، ص 36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8B"/>
    <w:rsid w:val="00752229"/>
    <w:rsid w:val="008C3D13"/>
    <w:rsid w:val="00926B8B"/>
    <w:rsid w:val="00A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6B8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26B8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26B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6B8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26B8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26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2506</Characters>
  <Application>Microsoft Office Word</Application>
  <DocSecurity>0</DocSecurity>
  <Lines>20</Lines>
  <Paragraphs>5</Paragraphs>
  <ScaleCrop>false</ScaleCrop>
  <Company>Enjoy My Fine Releases.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2021-09-18T13:35:00Z</dcterms:created>
  <dcterms:modified xsi:type="dcterms:W3CDTF">2021-09-18T13:36:00Z</dcterms:modified>
</cp:coreProperties>
</file>