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ثاني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ً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إقامة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نائب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عن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الفاعل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حذف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لغرض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لفظي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معنوي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ترتب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حذفه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يحل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محل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يصلح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أربعة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أشياء</w:t>
      </w:r>
      <w:r w:rsidDel="00000000" w:rsidR="00000000" w:rsidRPr="00000000">
        <w:rPr>
          <w:sz w:val="40"/>
          <w:szCs w:val="40"/>
          <w:rtl w:val="1"/>
        </w:rPr>
        <w:t xml:space="preserve">: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والظرف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نيابة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المفعول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به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عن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الفاعل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جد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عدمه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ثلاثة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مذاهب</w:t>
      </w:r>
      <w:r w:rsidDel="00000000" w:rsidR="00000000" w:rsidRPr="00000000">
        <w:rPr>
          <w:sz w:val="40"/>
          <w:szCs w:val="40"/>
          <w:rtl w:val="1"/>
        </w:rPr>
        <w:t xml:space="preserve">: </w:t>
      </w:r>
    </w:p>
    <w:p w:rsidR="00000000" w:rsidDel="00000000" w:rsidP="00000000" w:rsidRDefault="00000000" w:rsidRPr="00000000" w14:paraId="00000004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أ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أوجب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البصري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ون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إل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الأخفش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مثل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ألقى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الطالب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كلمة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إلقاء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بارع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الحفل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الخميس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أمام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الحاضرين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لقيت</w:t>
      </w:r>
      <w:r w:rsidDel="00000000" w:rsidR="00000000" w:rsidRPr="00000000">
        <w:rPr>
          <w:sz w:val="40"/>
          <w:szCs w:val="40"/>
          <w:rtl w:val="1"/>
        </w:rPr>
        <w:t xml:space="preserve">ْ </w:t>
      </w:r>
      <w:r w:rsidDel="00000000" w:rsidR="00000000" w:rsidRPr="00000000">
        <w:rPr>
          <w:sz w:val="40"/>
          <w:szCs w:val="40"/>
          <w:rtl w:val="1"/>
        </w:rPr>
        <w:t xml:space="preserve">كلمة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إلقاء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بارع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الحفل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الخميس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أمام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الحاضرين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خالف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شاذ</w:t>
      </w:r>
      <w:r w:rsidDel="00000000" w:rsidR="00000000" w:rsidRPr="00000000">
        <w:rPr>
          <w:sz w:val="40"/>
          <w:szCs w:val="40"/>
          <w:rtl w:val="1"/>
        </w:rPr>
        <w:t xml:space="preserve">ٌّ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مؤول</w:t>
      </w:r>
      <w:r w:rsidDel="00000000" w:rsidR="00000000" w:rsidRPr="00000000">
        <w:rPr>
          <w:sz w:val="40"/>
          <w:szCs w:val="40"/>
          <w:rtl w:val="1"/>
        </w:rPr>
        <w:t xml:space="preserve">ٌ.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ب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الأخفش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يتوج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إنابة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متقد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سواه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ألقى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الطالب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كلمة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إلقاء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بارع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الحفل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الخميس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أمام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الحاضرين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ينوب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لقيت</w:t>
      </w:r>
      <w:r w:rsidDel="00000000" w:rsidR="00000000" w:rsidRPr="00000000">
        <w:rPr>
          <w:sz w:val="40"/>
          <w:szCs w:val="40"/>
          <w:rtl w:val="1"/>
        </w:rPr>
        <w:t xml:space="preserve">ْ </w:t>
      </w:r>
      <w:r w:rsidDel="00000000" w:rsidR="00000000" w:rsidRPr="00000000">
        <w:rPr>
          <w:sz w:val="40"/>
          <w:szCs w:val="40"/>
          <w:rtl w:val="1"/>
        </w:rPr>
        <w:t xml:space="preserve">كلمة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إلقاء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بارع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الحفل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الخميس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أمام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الحاضرين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أم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متقد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ينوب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محم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الضيوف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ينوب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محم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يوف</w:t>
      </w:r>
      <w:r w:rsidDel="00000000" w:rsidR="00000000" w:rsidRPr="00000000">
        <w:rPr>
          <w:sz w:val="40"/>
          <w:szCs w:val="40"/>
          <w:rtl w:val="1"/>
        </w:rPr>
        <w:t xml:space="preserve">َ".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ج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الكوفيون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تقد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تأخ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قولنا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محم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الض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يوف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محم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يوف</w:t>
      </w:r>
      <w:r w:rsidDel="00000000" w:rsidR="00000000" w:rsidRPr="00000000">
        <w:rPr>
          <w:sz w:val="40"/>
          <w:szCs w:val="40"/>
          <w:rtl w:val="1"/>
        </w:rPr>
        <w:t xml:space="preserve">َ"،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محم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كرم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يوف</w:t>
      </w:r>
      <w:r w:rsidDel="00000000" w:rsidR="00000000" w:rsidRPr="00000000">
        <w:rPr>
          <w:sz w:val="40"/>
          <w:szCs w:val="40"/>
          <w:rtl w:val="1"/>
        </w:rPr>
        <w:t xml:space="preserve">َ". </w:t>
      </w:r>
      <w:r w:rsidDel="00000000" w:rsidR="00000000" w:rsidRPr="00000000">
        <w:rPr>
          <w:sz w:val="40"/>
          <w:szCs w:val="40"/>
          <w:rtl w:val="1"/>
        </w:rPr>
        <w:t xml:space="preserve">وقد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استدل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الكوفي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بقراءة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أبي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جعفر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العشرة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لقول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تعالى</w:t>
      </w:r>
      <w:r w:rsidDel="00000000" w:rsidR="00000000" w:rsidRPr="00000000">
        <w:rPr>
          <w:sz w:val="40"/>
          <w:szCs w:val="40"/>
          <w:rtl w:val="1"/>
        </w:rPr>
        <w:t xml:space="preserve">:(( 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ْ 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ذ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ين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آم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ن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غ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ذ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ين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ون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ام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الل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ز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ون</w:t>
      </w:r>
      <w:r w:rsidDel="00000000" w:rsidR="00000000" w:rsidRPr="00000000">
        <w:rPr>
          <w:sz w:val="40"/>
          <w:szCs w:val="40"/>
          <w:rtl w:val="1"/>
        </w:rPr>
        <w:t xml:space="preserve">َ)) [</w:t>
      </w:r>
      <w:r w:rsidDel="00000000" w:rsidR="00000000" w:rsidRPr="00000000">
        <w:rPr>
          <w:sz w:val="40"/>
          <w:szCs w:val="40"/>
          <w:rtl w:val="1"/>
        </w:rPr>
        <w:t xml:space="preserve">الجاثية</w:t>
      </w:r>
      <w:r w:rsidDel="00000000" w:rsidR="00000000" w:rsidRPr="00000000">
        <w:rPr>
          <w:sz w:val="40"/>
          <w:szCs w:val="40"/>
          <w:rtl w:val="1"/>
        </w:rPr>
        <w:t xml:space="preserve">:١٤]، </w:t>
      </w:r>
      <w:r w:rsidDel="00000000" w:rsidR="00000000" w:rsidRPr="00000000">
        <w:rPr>
          <w:sz w:val="40"/>
          <w:szCs w:val="40"/>
          <w:rtl w:val="1"/>
        </w:rPr>
        <w:t xml:space="preserve">فقد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قرأ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جزى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ببنائ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للمجهول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نصب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قوم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والنائب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بما</w:t>
      </w:r>
      <w:r w:rsidDel="00000000" w:rsidR="00000000" w:rsidRPr="00000000">
        <w:rPr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وبقول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الشاعر</w:t>
      </w:r>
      <w:r w:rsidDel="00000000" w:rsidR="00000000" w:rsidRPr="00000000">
        <w:rPr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بالعلياء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   </w:t>
      </w:r>
      <w:r w:rsidDel="00000000" w:rsidR="00000000" w:rsidRPr="00000000">
        <w:rPr>
          <w:sz w:val="40"/>
          <w:szCs w:val="40"/>
          <w:rtl w:val="1"/>
        </w:rPr>
        <w:t xml:space="preserve">ولا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الغي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هدى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فقد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بدليل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نصب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سي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".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نيابة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غير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المفعول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به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عن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الفاعل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يوجد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الأشياء</w:t>
      </w:r>
      <w:r w:rsidDel="00000000" w:rsidR="00000000" w:rsidRPr="00000000">
        <w:rPr>
          <w:sz w:val="40"/>
          <w:szCs w:val="40"/>
          <w:rtl w:val="1"/>
        </w:rPr>
        <w:t xml:space="preserve">: 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1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الظ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رف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يصلح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بشرطين</w:t>
      </w:r>
      <w:r w:rsidDel="00000000" w:rsidR="00000000" w:rsidRPr="00000000">
        <w:rPr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الش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رط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الأو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متصر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والظ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المتصر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صب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الظرفي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الجر</w:t>
      </w:r>
      <w:r w:rsidDel="00000000" w:rsidR="00000000" w:rsidRPr="00000000">
        <w:rPr>
          <w:sz w:val="40"/>
          <w:szCs w:val="40"/>
          <w:rtl w:val="1"/>
        </w:rPr>
        <w:t xml:space="preserve">ِّ </w:t>
      </w:r>
      <w:r w:rsidDel="00000000" w:rsidR="00000000" w:rsidRPr="00000000">
        <w:rPr>
          <w:sz w:val="40"/>
          <w:szCs w:val="40"/>
          <w:rtl w:val="1"/>
        </w:rPr>
        <w:t xml:space="preserve">بـ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أث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بالعوامل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المختلفة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زمن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وقت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ساعة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حين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سحر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سحر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ٍ </w:t>
      </w:r>
      <w:r w:rsidDel="00000000" w:rsidR="00000000" w:rsidRPr="00000000">
        <w:rPr>
          <w:sz w:val="40"/>
          <w:szCs w:val="40"/>
          <w:rtl w:val="1"/>
        </w:rPr>
        <w:t xml:space="preserve">بعينه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متصر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سحر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سحر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ٍ </w:t>
      </w:r>
      <w:r w:rsidDel="00000000" w:rsidR="00000000" w:rsidRPr="00000000">
        <w:rPr>
          <w:sz w:val="40"/>
          <w:szCs w:val="40"/>
          <w:rtl w:val="1"/>
        </w:rPr>
        <w:t xml:space="preserve">بعينه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رفي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بالجر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بـ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لدن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ينوب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جيء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سحر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الخميس</w:t>
      </w:r>
      <w:r w:rsidDel="00000000" w:rsidR="00000000" w:rsidRPr="00000000">
        <w:rPr>
          <w:sz w:val="40"/>
          <w:szCs w:val="40"/>
          <w:rtl w:val="1"/>
        </w:rPr>
        <w:t xml:space="preserve">" "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زيد</w:t>
      </w:r>
      <w:r w:rsidDel="00000000" w:rsidR="00000000" w:rsidRPr="00000000">
        <w:rPr>
          <w:sz w:val="40"/>
          <w:szCs w:val="40"/>
          <w:rtl w:val="1"/>
        </w:rPr>
        <w:t xml:space="preserve">ٍ".</w:t>
      </w:r>
    </w:p>
    <w:p w:rsidR="00000000" w:rsidDel="00000000" w:rsidP="00000000" w:rsidRDefault="00000000" w:rsidRPr="00000000" w14:paraId="00000010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الش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رط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الث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اني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مختص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والمراد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بالاختصاص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يزاد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الظرفية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ليزول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الغموض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والإبهام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معناه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بوصف</w:t>
      </w:r>
      <w:r w:rsidDel="00000000" w:rsidR="00000000" w:rsidRPr="00000000">
        <w:rPr>
          <w:sz w:val="40"/>
          <w:szCs w:val="40"/>
          <w:rtl w:val="1"/>
        </w:rPr>
        <w:t xml:space="preserve">ٍ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إضافة</w:t>
      </w:r>
      <w:r w:rsidDel="00000000" w:rsidR="00000000" w:rsidRPr="00000000">
        <w:rPr>
          <w:sz w:val="40"/>
          <w:szCs w:val="40"/>
          <w:rtl w:val="1"/>
        </w:rPr>
        <w:t xml:space="preserve">ٍ،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صيم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يوم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الخميس</w:t>
      </w:r>
      <w:r w:rsidDel="00000000" w:rsidR="00000000" w:rsidRPr="00000000">
        <w:rPr>
          <w:sz w:val="40"/>
          <w:szCs w:val="40"/>
          <w:rtl w:val="1"/>
        </w:rPr>
        <w:t xml:space="preserve">ِ"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لس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وقت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طويل</w:t>
      </w:r>
      <w:r w:rsidDel="00000000" w:rsidR="00000000" w:rsidRPr="00000000">
        <w:rPr>
          <w:sz w:val="40"/>
          <w:szCs w:val="40"/>
          <w:rtl w:val="1"/>
        </w:rPr>
        <w:t xml:space="preserve">ٌ". </w:t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الظ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نكرة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محضة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مبهم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فائدة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أريد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نيابته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وقت</w:t>
      </w:r>
      <w:r w:rsidDel="00000000" w:rsidR="00000000" w:rsidRPr="00000000">
        <w:rPr>
          <w:sz w:val="40"/>
          <w:szCs w:val="40"/>
          <w:rtl w:val="1"/>
        </w:rPr>
        <w:t xml:space="preserve">ٌ". 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2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المصدر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يصلح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بشرطين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أيض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الش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رط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الأول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متصر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المتصر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صب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أث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بالعوامل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المختلفة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كتابة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فهم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جلوس</w:t>
      </w:r>
      <w:r w:rsidDel="00000000" w:rsidR="00000000" w:rsidRPr="00000000">
        <w:rPr>
          <w:sz w:val="40"/>
          <w:szCs w:val="40"/>
          <w:rtl w:val="1"/>
        </w:rPr>
        <w:t xml:space="preserve">".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أم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الجامد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النصب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المصدري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ة</w:t>
      </w:r>
      <w:r w:rsidDel="00000000" w:rsidR="00000000" w:rsidRPr="00000000">
        <w:rPr>
          <w:sz w:val="40"/>
          <w:szCs w:val="40"/>
          <w:rtl w:val="1"/>
        </w:rPr>
        <w:t xml:space="preserve">، 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معاذ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وسبحان</w:t>
      </w:r>
      <w:r w:rsidDel="00000000" w:rsidR="00000000" w:rsidRPr="00000000">
        <w:rPr>
          <w:sz w:val="40"/>
          <w:szCs w:val="40"/>
          <w:rtl w:val="1"/>
        </w:rPr>
        <w:t xml:space="preserve">َ" </w:t>
      </w:r>
      <w:r w:rsidDel="00000000" w:rsidR="00000000" w:rsidRPr="00000000">
        <w:rPr>
          <w:sz w:val="40"/>
          <w:szCs w:val="40"/>
          <w:rtl w:val="1"/>
        </w:rPr>
        <w:t xml:space="preserve">فلم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يشتهر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استعمالهما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العرب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منصوبين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المصدرية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الش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رط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الث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اني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مختص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والمراد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باختصاص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يكتسب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لفظ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آخر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زائدا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معناه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المبهم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المقصور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الحدث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وذلك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مختص</w:t>
      </w:r>
      <w:r w:rsidDel="00000000" w:rsidR="00000000" w:rsidRPr="00000000">
        <w:rPr>
          <w:sz w:val="40"/>
          <w:szCs w:val="40"/>
          <w:rtl w:val="1"/>
        </w:rPr>
        <w:t xml:space="preserve">ًّ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بوصف</w:t>
      </w:r>
      <w:r w:rsidDel="00000000" w:rsidR="00000000" w:rsidRPr="00000000">
        <w:rPr>
          <w:sz w:val="40"/>
          <w:szCs w:val="40"/>
          <w:rtl w:val="1"/>
        </w:rPr>
        <w:t xml:space="preserve">ٍ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إضافة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دال</w:t>
      </w:r>
      <w:r w:rsidDel="00000000" w:rsidR="00000000" w:rsidRPr="00000000">
        <w:rPr>
          <w:sz w:val="40"/>
          <w:szCs w:val="40"/>
          <w:rtl w:val="1"/>
        </w:rPr>
        <w:t xml:space="preserve">ًّ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العدد</w:t>
      </w:r>
      <w:r w:rsidDel="00000000" w:rsidR="00000000" w:rsidRPr="00000000">
        <w:rPr>
          <w:sz w:val="40"/>
          <w:szCs w:val="40"/>
          <w:rtl w:val="1"/>
        </w:rPr>
        <w:t xml:space="preserve">.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قرئت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قراءة</w:t>
      </w:r>
      <w:r w:rsidDel="00000000" w:rsidR="00000000" w:rsidRPr="00000000">
        <w:rPr>
          <w:sz w:val="40"/>
          <w:szCs w:val="40"/>
          <w:rtl w:val="1"/>
        </w:rPr>
        <w:t xml:space="preserve">ٌ </w:t>
      </w:r>
      <w:r w:rsidDel="00000000" w:rsidR="00000000" w:rsidRPr="00000000">
        <w:rPr>
          <w:sz w:val="40"/>
          <w:szCs w:val="40"/>
          <w:rtl w:val="1"/>
        </w:rPr>
        <w:t xml:space="preserve">صحيحة</w:t>
      </w:r>
      <w:r w:rsidDel="00000000" w:rsidR="00000000" w:rsidRPr="00000000">
        <w:rPr>
          <w:sz w:val="40"/>
          <w:szCs w:val="40"/>
          <w:rtl w:val="1"/>
        </w:rPr>
        <w:t xml:space="preserve">ٌ" "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جلوس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الخائف</w:t>
      </w:r>
      <w:r w:rsidDel="00000000" w:rsidR="00000000" w:rsidRPr="00000000">
        <w:rPr>
          <w:sz w:val="40"/>
          <w:szCs w:val="40"/>
          <w:rtl w:val="1"/>
        </w:rPr>
        <w:t xml:space="preserve">ِ"،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قرئت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قراءتان</w:t>
      </w:r>
      <w:r w:rsidDel="00000000" w:rsidR="00000000" w:rsidRPr="00000000">
        <w:rPr>
          <w:sz w:val="40"/>
          <w:szCs w:val="40"/>
          <w:rtl w:val="1"/>
        </w:rPr>
        <w:t xml:space="preserve">"، </w:t>
      </w:r>
      <w:r w:rsidDel="00000000" w:rsidR="00000000" w:rsidRPr="00000000">
        <w:rPr>
          <w:sz w:val="40"/>
          <w:szCs w:val="40"/>
          <w:rtl w:val="1"/>
        </w:rPr>
        <w:t xml:space="preserve">فإذا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كذلك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ينوب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؛ </w:t>
      </w:r>
      <w:r w:rsidDel="00000000" w:rsidR="00000000" w:rsidRPr="00000000">
        <w:rPr>
          <w:sz w:val="40"/>
          <w:szCs w:val="40"/>
          <w:rtl w:val="1"/>
        </w:rPr>
        <w:t xml:space="preserve">لعدم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الفائدة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إذ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إن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يفد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زائد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يجوز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قرئ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قراءة</w:t>
      </w:r>
      <w:r w:rsidDel="00000000" w:rsidR="00000000" w:rsidRPr="00000000">
        <w:rPr>
          <w:sz w:val="40"/>
          <w:szCs w:val="40"/>
          <w:rtl w:val="1"/>
        </w:rPr>
        <w:t xml:space="preserve">ٌ".</w:t>
      </w:r>
    </w:p>
    <w:p w:rsidR="00000000" w:rsidDel="00000000" w:rsidP="00000000" w:rsidRDefault="00000000" w:rsidRPr="00000000" w14:paraId="00000017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3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: </w:t>
      </w:r>
    </w:p>
    <w:p w:rsidR="00000000" w:rsidDel="00000000" w:rsidP="00000000" w:rsidRDefault="00000000" w:rsidRPr="00000000" w14:paraId="00000018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يصلح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بشرطين</w:t>
      </w:r>
      <w:r w:rsidDel="00000000" w:rsidR="00000000" w:rsidRPr="00000000">
        <w:rPr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الش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رط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الأول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متصر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يلزم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طريقة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يخرج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غيرها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كـ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مذ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منذ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الملازمين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لجر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الز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ّ" </w:t>
      </w:r>
      <w:r w:rsidDel="00000000" w:rsidR="00000000" w:rsidRPr="00000000">
        <w:rPr>
          <w:sz w:val="40"/>
          <w:szCs w:val="40"/>
          <w:rtl w:val="1"/>
        </w:rPr>
        <w:t xml:space="preserve">الملازمة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لجر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الن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كرات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الش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رط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الث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ّ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اني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المجرور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مختص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والمراد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بالاختصاص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يكتسب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مجروره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زائد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إم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بوصف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إضافة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معر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ً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نحو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مسجد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كبير</w:t>
      </w:r>
      <w:r w:rsidDel="00000000" w:rsidR="00000000" w:rsidRPr="00000000">
        <w:rPr>
          <w:sz w:val="40"/>
          <w:szCs w:val="40"/>
          <w:rtl w:val="1"/>
        </w:rPr>
        <w:t xml:space="preserve">"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بانتصار</w:t>
      </w:r>
      <w:r w:rsidDel="00000000" w:rsidR="00000000" w:rsidRPr="00000000">
        <w:rPr>
          <w:sz w:val="40"/>
          <w:szCs w:val="40"/>
          <w:rtl w:val="1"/>
        </w:rPr>
        <w:t xml:space="preserve">ِ </w:t>
      </w:r>
      <w:r w:rsidDel="00000000" w:rsidR="00000000" w:rsidRPr="00000000">
        <w:rPr>
          <w:sz w:val="40"/>
          <w:szCs w:val="40"/>
          <w:rtl w:val="1"/>
        </w:rPr>
        <w:t xml:space="preserve">الجنود</w:t>
      </w:r>
      <w:r w:rsidDel="00000000" w:rsidR="00000000" w:rsidRPr="00000000">
        <w:rPr>
          <w:sz w:val="40"/>
          <w:szCs w:val="40"/>
          <w:rtl w:val="1"/>
        </w:rPr>
        <w:t xml:space="preserve">ِ"،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0"/>
          <w:szCs w:val="40"/>
          <w:rtl w:val="1"/>
        </w:rPr>
        <w:t xml:space="preserve">"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بزيد</w:t>
      </w:r>
      <w:r w:rsidDel="00000000" w:rsidR="00000000" w:rsidRPr="00000000">
        <w:rPr>
          <w:sz w:val="40"/>
          <w:szCs w:val="40"/>
          <w:rtl w:val="1"/>
        </w:rPr>
        <w:t xml:space="preserve">ٍ"، </w:t>
      </w:r>
      <w:r w:rsidDel="00000000" w:rsidR="00000000" w:rsidRPr="00000000">
        <w:rPr>
          <w:sz w:val="40"/>
          <w:szCs w:val="40"/>
          <w:rtl w:val="1"/>
        </w:rPr>
        <w:t xml:space="preserve">وإذا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المجرور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نكرة</w:t>
      </w:r>
      <w:r w:rsidDel="00000000" w:rsidR="00000000" w:rsidRPr="00000000">
        <w:rPr>
          <w:sz w:val="40"/>
          <w:szCs w:val="40"/>
          <w:rtl w:val="1"/>
        </w:rPr>
        <w:t xml:space="preserve">ً </w:t>
      </w:r>
      <w:r w:rsidDel="00000000" w:rsidR="00000000" w:rsidRPr="00000000">
        <w:rPr>
          <w:sz w:val="40"/>
          <w:szCs w:val="40"/>
          <w:rtl w:val="1"/>
        </w:rPr>
        <w:t xml:space="preserve">محضة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، </w:t>
      </w:r>
      <w:r w:rsidDel="00000000" w:rsidR="00000000" w:rsidRPr="00000000">
        <w:rPr>
          <w:sz w:val="40"/>
          <w:szCs w:val="40"/>
          <w:rtl w:val="1"/>
        </w:rPr>
        <w:t xml:space="preserve">فلا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نقول</w:t>
      </w:r>
      <w:r w:rsidDel="00000000" w:rsidR="00000000" w:rsidRPr="00000000">
        <w:rPr>
          <w:sz w:val="40"/>
          <w:szCs w:val="40"/>
          <w:rtl w:val="1"/>
        </w:rPr>
        <w:t xml:space="preserve">: "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بانتصار</w:t>
      </w:r>
      <w:r w:rsidDel="00000000" w:rsidR="00000000" w:rsidRPr="00000000">
        <w:rPr>
          <w:sz w:val="40"/>
          <w:szCs w:val="40"/>
          <w:rtl w:val="1"/>
        </w:rPr>
        <w:t xml:space="preserve">ٍ"، </w:t>
      </w:r>
      <w:r w:rsidDel="00000000" w:rsidR="00000000" w:rsidRPr="00000000">
        <w:rPr>
          <w:sz w:val="40"/>
          <w:szCs w:val="40"/>
          <w:rtl w:val="1"/>
        </w:rPr>
        <w:t xml:space="preserve">أو</w:t>
      </w:r>
      <w:r w:rsidDel="00000000" w:rsidR="00000000" w:rsidRPr="00000000">
        <w:rPr>
          <w:sz w:val="40"/>
          <w:szCs w:val="40"/>
          <w:rtl w:val="1"/>
        </w:rPr>
        <w:t xml:space="preserve"> "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جامع</w:t>
      </w:r>
      <w:r w:rsidDel="00000000" w:rsidR="00000000" w:rsidRPr="00000000">
        <w:rPr>
          <w:sz w:val="40"/>
          <w:szCs w:val="40"/>
          <w:rtl w:val="1"/>
        </w:rPr>
        <w:t xml:space="preserve">ٍ"؛ </w:t>
      </w:r>
      <w:r w:rsidDel="00000000" w:rsidR="00000000" w:rsidRPr="00000000">
        <w:rPr>
          <w:sz w:val="40"/>
          <w:szCs w:val="40"/>
          <w:rtl w:val="1"/>
        </w:rPr>
        <w:t xml:space="preserve">لعدم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الفائدة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الإسناد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line="360" w:lineRule="auto"/>
        <w:jc w:val="both"/>
        <w:rPr>
          <w:sz w:val="40"/>
          <w:szCs w:val="40"/>
        </w:rPr>
      </w:pPr>
      <w:r w:rsidDel="00000000" w:rsidR="00000000" w:rsidRPr="00000000">
        <w:rPr>
          <w:color w:val="ff0000"/>
          <w:sz w:val="40"/>
          <w:szCs w:val="40"/>
          <w:rtl w:val="1"/>
        </w:rPr>
        <w:t xml:space="preserve">ملاحظة</w:t>
      </w:r>
      <w:r w:rsidDel="00000000" w:rsidR="00000000" w:rsidRPr="00000000">
        <w:rPr>
          <w:color w:val="ff0000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يصلح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للنيابة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المفعول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والمصدر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والظرف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والجار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والمجرور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ينوب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لأن</w:t>
      </w:r>
      <w:r w:rsidDel="00000000" w:rsidR="00000000" w:rsidRPr="00000000">
        <w:rPr>
          <w:sz w:val="40"/>
          <w:szCs w:val="40"/>
          <w:rtl w:val="1"/>
        </w:rPr>
        <w:t xml:space="preserve">ّ </w:t>
      </w:r>
      <w:r w:rsidDel="00000000" w:rsidR="00000000" w:rsidRPr="00000000">
        <w:rPr>
          <w:sz w:val="40"/>
          <w:szCs w:val="40"/>
          <w:rtl w:val="1"/>
        </w:rPr>
        <w:t xml:space="preserve">النائب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كالفاعل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يتعد</w:t>
      </w:r>
      <w:r w:rsidDel="00000000" w:rsidR="00000000" w:rsidRPr="00000000">
        <w:rPr>
          <w:sz w:val="40"/>
          <w:szCs w:val="40"/>
          <w:rtl w:val="1"/>
        </w:rPr>
        <w:t xml:space="preserve">ّ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