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العطف على اسم "لا" مع تكرارها: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إذا تكرّرت "لا" كان إعراب الاسم بعدها كالآتي: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أوّلًا: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إذا كان اسم "لا" الأولى مفردًا مبنيًّا، وكان الاسم بعد "لا" الثّانية مفردًا نكرة، نحو: " لا حول ولا قوّة إلّا بالله" جاز في الاسم الواقع بعد "لا" الثّانية ثلاثة أوجه: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1ـ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البناء على الفتح: نحو: "لا حولَ ولا قوّةَ إلّا بالله" على اعتبار أنّ "لا" الثّانية نافية للجنس أيضًا، و"قوّةً" اسمها مبنيٌّ على الفتح.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2ـ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النّصب: نحو: "لا حولَ ولا قوّةً إلّا بالله" على اعتبار أنّ "لا" الثّانية نافية زائدة للتّوكيد، وأنّ "قوّةً" </w:t>
      </w:r>
      <w:proofErr w:type="spellStart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معطوف</w:t>
      </w:r>
      <w:proofErr w:type="spellEnd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على محلّ اسم "لا" الأولى، وهو "حول" مراعاةً لمحلّه الذي هو النّصب، من ذلك الشّاهد: 110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لا نَسَبَ اليَومَ ولا خلّةً     اتّسعَ الخَرْقُ على الرّاقِعِ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3ـ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الرفع: نحو: "لا حولَ ولا قوّةٌ إلّا بالله"، وفيه ثلاثة توجيهات: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أ: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أن يكون </w:t>
      </w:r>
      <w:proofErr w:type="spellStart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معطوفًا</w:t>
      </w:r>
      <w:proofErr w:type="spellEnd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على محلّ "لا" واسمها؛ لأنّهما في موضع رفع بالابتداء عند سيبويه، وحينئذٍ تكون "لا" الثّانية زائدة.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ب: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أن تكون "لا" الثّانية: عاملة عمل "ليس"، والمرفوع بعدها "قوّةٌ" اسمها.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ج: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أن تكون "لا" الثّانية نافية غير عاملة، والاسم بعدها يكون مرفوعا على أنّه مبتدأ، وليس </w:t>
      </w:r>
      <w:proofErr w:type="spellStart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للا</w:t>
      </w:r>
      <w:proofErr w:type="spellEnd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عمل فيه وذلك نحو لا حول. ومن الرّفع قوله: 111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lastRenderedPageBreak/>
        <w:t>هذا لعَمْرُكمُ الصّغَارُ بِعَينِهِ     لا أمَّ لي إنْ كانَ ذاكَ ولا أبُ.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ثانيًا: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إذا كان اسم "لا" الأولى منصوبًا، وكان ما بعد "لا" الثّانية اسمًا مفردًا، نَحو: "لا غلامَ رجلٍ ولا امرأة" جاز في الاسم المفرد الواقع بعد "لا" الثّانية الأوجه المذكورة سابقًا، أي: البناء والرّفع والنّصب، نحو: "لا غلامَ رجلٍ ولا امرأةَ ولا امرأةً ولا امرأةُ".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ثالثًا: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إذا كان الاسم الواقع بعد "لا" الأولى مرفوعًا، وما بعد الثّاني مفردًا، نحو: "لا حولٌ ولا قوّة إلّا باللهِ" جاز في الاسم الواقع بعد "لا" الثّانية وجهان: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 xml:space="preserve">1ـ 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البناء على الفتح: نحو: "لا حولٌ ولا قوّةَ إلّا باللهِ"، ومنه قوله: 112</w:t>
      </w:r>
    </w:p>
    <w:p w:rsidR="009C6131" w:rsidRDefault="009C6131" w:rsidP="009C6131">
      <w:pPr>
        <w:pStyle w:val="normal"/>
        <w:spacing w:after="0" w:line="360" w:lineRule="auto"/>
        <w:jc w:val="center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فلا لَغْوٌ ولا تأثيمَ فيها     وما فاهوا به أبدًا مُقيمُ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lang w:bidi="ar-IQ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2ـ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الرفع: نحو: "لا حولٌ ولا قوّةٌ إلّا باللهِ"، ولا يجوز النّصب؛ لأنّه جاز في الأوجه المذكورة السّابقة للعطف على محلّ اسم "لا" الأولى و"لا" الأولى هنا ليست بناصبة.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العطف على اسم "لا" من دون تكرارها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أوّلًا: إذا عطف على اسم "لا" وكان نكرةً مفردًا، ولم تتكرر "لا" جاز في </w:t>
      </w:r>
      <w:proofErr w:type="spellStart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المعطوف</w:t>
      </w:r>
      <w:proofErr w:type="spellEnd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ما جاز في النّعت المفصول وهو: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1ـ الرّفع: نحو: "لا رجلَ وامرأةٌ"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2ـ النّصب: نحو: "لا رجلَ وامرأةً".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lastRenderedPageBreak/>
        <w:t>ثانيًا: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إذا عطف على اسم "لا" وكان نكرة مضافًا أو شبيهًا بالمضاف، وسواءٌ تكررت "لا" أم لم تتكرر جاز في </w:t>
      </w:r>
      <w:proofErr w:type="spellStart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المعطوف</w:t>
      </w:r>
      <w:proofErr w:type="spellEnd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ما جاز في النّعت المفصول أيضًا، وهو: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1ـ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الرّفع: نحو: "لا رجلَ ولا غلامُ امرأةٍ" و"لا رجلَ وغلامُ امرأةٍ"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2ـ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النّصب: نحو: "لا رجلَ ولا غلامَ امرأةٍ" و"لا رجلَ وغلامَ امرأةٍ". 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هذا إذا كان </w:t>
      </w:r>
      <w:proofErr w:type="spellStart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المعطوف</w:t>
      </w:r>
      <w:proofErr w:type="spellEnd"/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نكرةً، فإن كان معرفة لم يجز فيه إلّا الرّفع، نحو: "لا رجلٌ ولا زيدٌ فيها" أو "لا رجلٌ وزيدٌ فيها".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نعت اسم "لا":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أوّلًا: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إذا كان اسم "لا" مبنيًا، ونُعِت بمفردٍ، لم يفصل بينهما فاصل جاز في النّعت ثلاثة أوجه: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1ـ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البناء على الفتح؛ لتركّبه مع اسم "لا"، نحو: "لا رجلَ ظريفَ".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2ـ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النّصب مراعاةً لمحلِّ اسم "لا"، نحو: "لا رجلَ ظريفًا".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3ـ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الرفعُ مراعاةً لمحلِّ "لا" واسمها؛ لأنّهما في موضعِ رفعٍ عند سيبويه كما تقدّم، نحو: "لا رجلَ ظريفٌ".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>ثانيًا: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 إذا كان اسم "لا" مفردًا، ونُعت بمفرد، وفُصِل بينَهما، جاز في النّعتِ: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الّرفع: نحوَ: "لا رجلَ فيها ظريفٌ".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 xml:space="preserve">النّصب: نحو: "لا رجلَ فيها ظريفًا".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lastRenderedPageBreak/>
        <w:t xml:space="preserve">ولا يجوز هنا البناء على الفتح؛ لأنّه إنّما جاز عند عدم الفصل لتركب النّعت مع الاسم، ومع الفصل لا يمكن التركيب. </w:t>
      </w:r>
    </w:p>
    <w:p w:rsidR="009C6131" w:rsidRDefault="009C6131" w:rsidP="009C6131">
      <w:pPr>
        <w:pStyle w:val="normal"/>
        <w:spacing w:after="0" w:line="360" w:lineRule="auto"/>
        <w:jc w:val="both"/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</w:pPr>
      <w:r>
        <w:rPr>
          <w:rFonts w:asciiTheme="minorBidi" w:eastAsia="Traditional Arabic" w:hAnsiTheme="minorBidi" w:cstheme="minorBidi"/>
          <w:b/>
          <w:color w:val="FF0000"/>
          <w:sz w:val="40"/>
          <w:szCs w:val="40"/>
          <w:rtl/>
        </w:rPr>
        <w:t xml:space="preserve">ثالثًا: </w:t>
      </w:r>
      <w:r>
        <w:rPr>
          <w:rFonts w:asciiTheme="minorBidi" w:eastAsia="Traditional Arabic" w:hAnsiTheme="minorBidi" w:cstheme="minorBidi"/>
          <w:b/>
          <w:color w:val="000000"/>
          <w:sz w:val="40"/>
          <w:szCs w:val="40"/>
          <w:rtl/>
        </w:rPr>
        <w:t>إذا كان اسم "لا"</w:t>
      </w:r>
      <w:r>
        <w:rPr>
          <w:rFonts w:asciiTheme="minorBidi" w:eastAsia="Traditional Arabic" w:hAnsiTheme="minorBidi" w:cstheme="minorBidi"/>
          <w:b/>
          <w:sz w:val="40"/>
          <w:szCs w:val="40"/>
          <w:rtl/>
        </w:rPr>
        <w:t xml:space="preserve"> مضافًا أو شبيهًا بالمضاف جاز في نعته الرّفع والنّصب، سواء فُصل بينهما أم لم يفصل، نحو: "لا حاملًا كتابًا مجتهدًا في الصّف" و"لا حاملًا كتاباً مجتهدٌ في الصّف"، و"لا غلامَ رجلٍ في الدّار ظريفًا" و"لا غلامَ رجلٍ في الدّار ظريفٌ". </w:t>
      </w:r>
    </w:p>
    <w:p w:rsidR="00262525" w:rsidRPr="009C6131" w:rsidRDefault="00262525">
      <w:pPr>
        <w:rPr>
          <w:rFonts w:hint="cs"/>
          <w:lang w:bidi="ar-IQ"/>
        </w:rPr>
      </w:pPr>
    </w:p>
    <w:sectPr w:rsidR="00262525" w:rsidRPr="009C6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9C6131"/>
    <w:rsid w:val="00262525"/>
    <w:rsid w:val="009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6131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2825</Characters>
  <Application>Microsoft Office Word</Application>
  <DocSecurity>0</DocSecurity>
  <Lines>23</Lines>
  <Paragraphs>6</Paragraphs>
  <ScaleCrop>false</ScaleCrop>
  <Company>By DR.Ahmed Saker 2o1O  ;)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2020-12-26T18:43:00Z</dcterms:created>
  <dcterms:modified xsi:type="dcterms:W3CDTF">2020-12-26T18:45:00Z</dcterms:modified>
</cp:coreProperties>
</file>