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F60" w:rsidRDefault="0092308D">
      <w:pPr>
        <w:spacing w:after="1209" w:line="259" w:lineRule="auto"/>
        <w:ind w:left="1165" w:firstLine="0"/>
      </w:pPr>
      <w:r>
        <w:rPr>
          <w:sz w:val="88"/>
        </w:rPr>
        <w:t>Introduction to Predicate Logic</w:t>
      </w:r>
    </w:p>
    <w:p w:rsidR="001F4F60" w:rsidRDefault="00ED4A2C">
      <w:pPr>
        <w:spacing w:after="126" w:line="259" w:lineRule="auto"/>
        <w:ind w:left="189"/>
        <w:jc w:val="center"/>
      </w:pPr>
      <w:r>
        <w:rPr>
          <w:sz w:val="64"/>
        </w:rPr>
        <w:t>Assistant Prof. Dr. Emad I Abdul Kareem</w:t>
      </w:r>
    </w:p>
    <w:p w:rsidR="001F4F60" w:rsidRDefault="00ED4A2C">
      <w:pPr>
        <w:spacing w:after="126" w:line="259" w:lineRule="auto"/>
        <w:ind w:left="189" w:right="3"/>
        <w:jc w:val="center"/>
        <w:rPr>
          <w:sz w:val="64"/>
        </w:rPr>
      </w:pPr>
      <w:r>
        <w:rPr>
          <w:sz w:val="64"/>
        </w:rPr>
        <w:t>Al-</w:t>
      </w:r>
      <w:proofErr w:type="spellStart"/>
      <w:r>
        <w:rPr>
          <w:sz w:val="64"/>
        </w:rPr>
        <w:t>Mustansiriah</w:t>
      </w:r>
      <w:proofErr w:type="spellEnd"/>
      <w:r>
        <w:rPr>
          <w:sz w:val="64"/>
        </w:rPr>
        <w:t xml:space="preserve"> University</w:t>
      </w:r>
    </w:p>
    <w:p w:rsidR="00ED4A2C" w:rsidRDefault="00ED4A2C">
      <w:pPr>
        <w:spacing w:after="126" w:line="259" w:lineRule="auto"/>
        <w:ind w:left="189" w:right="3"/>
        <w:jc w:val="center"/>
      </w:pPr>
      <w:r>
        <w:rPr>
          <w:sz w:val="64"/>
        </w:rPr>
        <w:t xml:space="preserve">College of Education </w:t>
      </w:r>
    </w:p>
    <w:p w:rsidR="00ED4A2C" w:rsidRDefault="00ED4A2C">
      <w:pPr>
        <w:pStyle w:val="Heading2"/>
        <w:ind w:left="1675"/>
      </w:pPr>
    </w:p>
    <w:p w:rsidR="00ED4A2C" w:rsidRDefault="00ED4A2C">
      <w:pPr>
        <w:pStyle w:val="Heading2"/>
        <w:ind w:left="1675"/>
      </w:pPr>
    </w:p>
    <w:p w:rsidR="00ED4A2C" w:rsidRDefault="00ED4A2C">
      <w:pPr>
        <w:pStyle w:val="Heading2"/>
        <w:ind w:left="1675"/>
      </w:pPr>
    </w:p>
    <w:p w:rsidR="00ED4A2C" w:rsidRPr="00ED4A2C" w:rsidRDefault="00ED4A2C" w:rsidP="00ED4A2C"/>
    <w:p w:rsidR="001F4F60" w:rsidRDefault="0092308D">
      <w:pPr>
        <w:pStyle w:val="Heading2"/>
        <w:ind w:left="1675"/>
      </w:pPr>
      <w:r>
        <w:lastRenderedPageBreak/>
        <w:t>Predicate logic</w:t>
      </w:r>
    </w:p>
    <w:p w:rsidR="001F4F60" w:rsidRDefault="0092308D">
      <w:pPr>
        <w:spacing w:after="551"/>
      </w:pPr>
      <w:r>
        <w:t>Sentences are broken further down into</w:t>
      </w:r>
    </w:p>
    <w:p w:rsidR="001F4F60" w:rsidRDefault="0092308D">
      <w:pPr>
        <w:spacing w:after="567" w:line="259" w:lineRule="auto"/>
        <w:ind w:left="1675"/>
      </w:pPr>
      <w:r>
        <w:t xml:space="preserve">-- </w:t>
      </w:r>
      <w:proofErr w:type="gramStart"/>
      <w:r>
        <w:rPr>
          <w:u w:val="single" w:color="000000"/>
        </w:rPr>
        <w:t>constants</w:t>
      </w:r>
      <w:proofErr w:type="gramEnd"/>
    </w:p>
    <w:p w:rsidR="001F4F60" w:rsidRDefault="0092308D">
      <w:pPr>
        <w:spacing w:after="567" w:line="259" w:lineRule="auto"/>
        <w:ind w:left="1675"/>
      </w:pPr>
      <w:r>
        <w:t xml:space="preserve">-- </w:t>
      </w:r>
      <w:proofErr w:type="gramStart"/>
      <w:r>
        <w:rPr>
          <w:u w:val="single" w:color="000000"/>
        </w:rPr>
        <w:t>variables</w:t>
      </w:r>
      <w:proofErr w:type="gramEnd"/>
    </w:p>
    <w:p w:rsidR="001F4F60" w:rsidRDefault="0092308D">
      <w:pPr>
        <w:spacing w:after="567" w:line="259" w:lineRule="auto"/>
        <w:ind w:left="1675"/>
      </w:pPr>
      <w:r>
        <w:t xml:space="preserve">-- </w:t>
      </w:r>
      <w:r>
        <w:rPr>
          <w:u w:val="single" w:color="000000"/>
        </w:rPr>
        <w:t>predicates</w:t>
      </w:r>
    </w:p>
    <w:p w:rsidR="001F4F60" w:rsidRDefault="0092308D">
      <w:pPr>
        <w:spacing w:after="567" w:line="259" w:lineRule="auto"/>
        <w:ind w:left="1675"/>
      </w:pPr>
      <w:r>
        <w:t xml:space="preserve">-- </w:t>
      </w:r>
      <w:proofErr w:type="gramStart"/>
      <w:r>
        <w:rPr>
          <w:u w:val="single" w:color="000000"/>
        </w:rPr>
        <w:t>quantifiers</w:t>
      </w:r>
      <w:proofErr w:type="gramEnd"/>
    </w:p>
    <w:p w:rsidR="008674D6" w:rsidRDefault="008674D6">
      <w:pPr>
        <w:pStyle w:val="Heading2"/>
        <w:ind w:left="370"/>
      </w:pPr>
    </w:p>
    <w:p w:rsidR="001F4F60" w:rsidRDefault="0092308D">
      <w:pPr>
        <w:pStyle w:val="Heading2"/>
        <w:ind w:left="370"/>
      </w:pPr>
      <w:r>
        <w:t>Singular sentences</w:t>
      </w:r>
    </w:p>
    <w:p w:rsidR="001F4F60" w:rsidRDefault="0092308D">
      <w:pPr>
        <w:spacing w:after="566"/>
        <w:ind w:left="355"/>
      </w:pPr>
      <w:r>
        <w:t xml:space="preserve">A </w:t>
      </w:r>
      <w:r>
        <w:rPr>
          <w:u w:val="single" w:color="000000"/>
        </w:rPr>
        <w:t xml:space="preserve">singular </w:t>
      </w:r>
      <w:r>
        <w:t xml:space="preserve">sentence is built from a </w:t>
      </w:r>
      <w:r w:rsidRPr="0053159F">
        <w:rPr>
          <w:highlight w:val="yellow"/>
        </w:rPr>
        <w:t>constant</w:t>
      </w:r>
      <w:r>
        <w:t xml:space="preserve"> and a </w:t>
      </w:r>
      <w:r w:rsidRPr="0053159F">
        <w:rPr>
          <w:highlight w:val="yellow"/>
        </w:rPr>
        <w:t>predicate</w:t>
      </w:r>
    </w:p>
    <w:p w:rsidR="001F4F60" w:rsidRDefault="0092308D">
      <w:pPr>
        <w:spacing w:after="567"/>
        <w:ind w:left="355"/>
      </w:pPr>
      <w:r>
        <w:t xml:space="preserve">-- </w:t>
      </w:r>
      <w:proofErr w:type="gramStart"/>
      <w:r>
        <w:t>the</w:t>
      </w:r>
      <w:proofErr w:type="gramEnd"/>
      <w:r>
        <w:t xml:space="preserve"> constant refers to a </w:t>
      </w:r>
      <w:r w:rsidRPr="0053159F">
        <w:rPr>
          <w:highlight w:val="yellow"/>
        </w:rPr>
        <w:t>thing</w:t>
      </w:r>
    </w:p>
    <w:p w:rsidR="001F4F60" w:rsidRDefault="0092308D">
      <w:pPr>
        <w:spacing w:after="1141"/>
        <w:ind w:left="355"/>
      </w:pPr>
      <w:r>
        <w:t xml:space="preserve">-- </w:t>
      </w:r>
      <w:proofErr w:type="gramStart"/>
      <w:r>
        <w:t>the</w:t>
      </w:r>
      <w:proofErr w:type="gramEnd"/>
      <w:r>
        <w:t xml:space="preserve"> predicate indicates a </w:t>
      </w:r>
      <w:r w:rsidRPr="0053159F">
        <w:rPr>
          <w:highlight w:val="yellow"/>
        </w:rPr>
        <w:t>property</w:t>
      </w:r>
    </w:p>
    <w:p w:rsidR="001F4F60" w:rsidRDefault="0092308D">
      <w:pPr>
        <w:spacing w:after="555"/>
        <w:ind w:left="355"/>
      </w:pPr>
      <w:r>
        <w:t>Such a sentence says that the thing referred to has the indicated property</w:t>
      </w:r>
    </w:p>
    <w:p w:rsidR="001F4F60" w:rsidRDefault="0092308D">
      <w:pPr>
        <w:ind w:left="355"/>
      </w:pPr>
      <w:r>
        <w:t>Note: There are no restrictions on what things can be!</w:t>
      </w:r>
    </w:p>
    <w:p w:rsidR="001F4F60" w:rsidRDefault="0092308D" w:rsidP="005A6C2C">
      <w:pPr>
        <w:pStyle w:val="Heading2"/>
        <w:ind w:left="360"/>
      </w:pPr>
      <w:r>
        <w:lastRenderedPageBreak/>
        <w:t>An example of a singular sentence</w:t>
      </w:r>
    </w:p>
    <w:p w:rsidR="001F4F60" w:rsidRDefault="0092308D">
      <w:pPr>
        <w:spacing w:after="551"/>
        <w:ind w:left="2530"/>
      </w:pPr>
      <w:r>
        <w:t xml:space="preserve">The sentence </w:t>
      </w:r>
    </w:p>
    <w:p w:rsidR="001F4F60" w:rsidRDefault="0092308D">
      <w:pPr>
        <w:spacing w:after="552"/>
        <w:ind w:left="2928"/>
      </w:pPr>
      <w:r>
        <w:t>”</w:t>
      </w:r>
      <w:r w:rsidRPr="0053159F">
        <w:rPr>
          <w:highlight w:val="yellow"/>
        </w:rPr>
        <w:t>Mars</w:t>
      </w:r>
      <w:r>
        <w:t xml:space="preserve"> is round”</w:t>
      </w:r>
    </w:p>
    <w:p w:rsidR="001F4F60" w:rsidRDefault="0092308D">
      <w:pPr>
        <w:spacing w:after="551"/>
        <w:ind w:left="2530"/>
      </w:pPr>
      <w:r>
        <w:t xml:space="preserve">Is </w:t>
      </w:r>
      <w:proofErr w:type="spellStart"/>
      <w:r>
        <w:t>build</w:t>
      </w:r>
      <w:proofErr w:type="spellEnd"/>
      <w:r>
        <w:t xml:space="preserve"> from the </w:t>
      </w:r>
      <w:proofErr w:type="gramStart"/>
      <w:r>
        <w:t>constant</w:t>
      </w:r>
      <w:proofErr w:type="gramEnd"/>
    </w:p>
    <w:p w:rsidR="001F4F60" w:rsidRDefault="0092308D">
      <w:pPr>
        <w:spacing w:line="500" w:lineRule="auto"/>
        <w:ind w:left="2520" w:right="7423" w:firstLine="664"/>
      </w:pPr>
      <w:r>
        <w:t>”Mars” and the predicate</w:t>
      </w:r>
    </w:p>
    <w:p w:rsidR="001F4F60" w:rsidRDefault="0092308D">
      <w:pPr>
        <w:ind w:left="3194"/>
      </w:pPr>
      <w:r>
        <w:t>”_ is round”</w:t>
      </w:r>
    </w:p>
    <w:p w:rsidR="001F4F60" w:rsidRDefault="0092308D">
      <w:pPr>
        <w:pStyle w:val="Heading2"/>
        <w:ind w:left="2770"/>
      </w:pPr>
      <w:r>
        <w:t>Symbolization of singular sentences</w:t>
      </w:r>
    </w:p>
    <w:p w:rsidR="001F4F60" w:rsidRDefault="0092308D">
      <w:pPr>
        <w:spacing w:after="571"/>
        <w:ind w:left="2770"/>
      </w:pPr>
      <w:proofErr w:type="gramStart"/>
      <w:r>
        <w:rPr>
          <w:rFonts w:ascii="Courier New" w:eastAsia="Courier New" w:hAnsi="Courier New" w:cs="Courier New"/>
        </w:rPr>
        <w:t>a</w:t>
      </w:r>
      <w:proofErr w:type="gramEnd"/>
      <w:r>
        <w:t xml:space="preserve">, </w:t>
      </w:r>
      <w:r>
        <w:rPr>
          <w:rFonts w:ascii="Courier New" w:eastAsia="Courier New" w:hAnsi="Courier New" w:cs="Courier New"/>
        </w:rPr>
        <w:t>b</w:t>
      </w:r>
      <w:r>
        <w:t xml:space="preserve">, </w:t>
      </w:r>
      <w:r>
        <w:rPr>
          <w:rFonts w:ascii="Courier New" w:eastAsia="Courier New" w:hAnsi="Courier New" w:cs="Courier New"/>
        </w:rPr>
        <w:t>c</w:t>
      </w:r>
      <w:r>
        <w:t>, ... stands for constants</w:t>
      </w:r>
    </w:p>
    <w:p w:rsidR="001F4F60" w:rsidRDefault="0092308D">
      <w:pPr>
        <w:spacing w:after="555"/>
        <w:ind w:left="2770"/>
      </w:pPr>
      <w:r>
        <w:rPr>
          <w:rFonts w:ascii="Courier New" w:eastAsia="Courier New" w:hAnsi="Courier New" w:cs="Courier New"/>
        </w:rPr>
        <w:lastRenderedPageBreak/>
        <w:t>P</w:t>
      </w:r>
      <w:r>
        <w:t xml:space="preserve">, </w:t>
      </w:r>
      <w:r>
        <w:rPr>
          <w:rFonts w:ascii="Courier New" w:eastAsia="Courier New" w:hAnsi="Courier New" w:cs="Courier New"/>
        </w:rPr>
        <w:t>Q</w:t>
      </w:r>
      <w:r>
        <w:t xml:space="preserve">, </w:t>
      </w:r>
      <w:proofErr w:type="gramStart"/>
      <w:r>
        <w:rPr>
          <w:rFonts w:ascii="Courier New" w:eastAsia="Courier New" w:hAnsi="Courier New" w:cs="Courier New"/>
        </w:rPr>
        <w:t>R</w:t>
      </w:r>
      <w:r>
        <w:t>, ...</w:t>
      </w:r>
      <w:proofErr w:type="gramEnd"/>
      <w:r>
        <w:t xml:space="preserve"> stands for predicates</w:t>
      </w:r>
    </w:p>
    <w:p w:rsidR="001F4F60" w:rsidRDefault="0092308D">
      <w:pPr>
        <w:spacing w:after="649" w:line="259" w:lineRule="auto"/>
        <w:ind w:left="2770"/>
      </w:pPr>
      <w:r>
        <w:rPr>
          <w:b/>
          <w:i/>
        </w:rPr>
        <w:t xml:space="preserve">Singular sentences are </w:t>
      </w:r>
      <w:proofErr w:type="spellStart"/>
      <w:r>
        <w:rPr>
          <w:b/>
          <w:i/>
        </w:rPr>
        <w:t>symbilized</w:t>
      </w:r>
      <w:proofErr w:type="spellEnd"/>
    </w:p>
    <w:p w:rsidR="001F4F60" w:rsidRDefault="0092308D">
      <w:pPr>
        <w:spacing w:after="572" w:line="259" w:lineRule="auto"/>
        <w:ind w:left="3449"/>
      </w:pPr>
      <w:proofErr w:type="gramStart"/>
      <w:r>
        <w:rPr>
          <w:rFonts w:ascii="Courier New" w:eastAsia="Courier New" w:hAnsi="Courier New" w:cs="Courier New"/>
        </w:rPr>
        <w:t>P(</w:t>
      </w:r>
      <w:proofErr w:type="gramEnd"/>
      <w:r>
        <w:rPr>
          <w:rFonts w:ascii="Courier New" w:eastAsia="Courier New" w:hAnsi="Courier New" w:cs="Courier New"/>
        </w:rPr>
        <w:t>a)</w:t>
      </w:r>
      <w:r>
        <w:t xml:space="preserve">, </w:t>
      </w:r>
      <w:r>
        <w:rPr>
          <w:rFonts w:ascii="Courier New" w:eastAsia="Courier New" w:hAnsi="Courier New" w:cs="Courier New"/>
        </w:rPr>
        <w:t>Q(b)</w:t>
      </w:r>
      <w:r>
        <w:t xml:space="preserve">, </w:t>
      </w:r>
      <w:r>
        <w:rPr>
          <w:rFonts w:ascii="Courier New" w:eastAsia="Courier New" w:hAnsi="Courier New" w:cs="Courier New"/>
        </w:rPr>
        <w:t>R(c)</w:t>
      </w:r>
      <w:r>
        <w:t>, ...</w:t>
      </w:r>
    </w:p>
    <w:p w:rsidR="001F4F60" w:rsidRDefault="0092308D">
      <w:pPr>
        <w:spacing w:after="568" w:line="259" w:lineRule="auto"/>
        <w:ind w:left="2770"/>
      </w:pPr>
      <w:proofErr w:type="gramStart"/>
      <w:r>
        <w:rPr>
          <w:b/>
          <w:i/>
        </w:rPr>
        <w:t>which</w:t>
      </w:r>
      <w:proofErr w:type="gramEnd"/>
      <w:r>
        <w:rPr>
          <w:b/>
          <w:i/>
        </w:rPr>
        <w:t xml:space="preserve"> respectively stand for</w:t>
      </w:r>
    </w:p>
    <w:p w:rsidR="001F4F60" w:rsidRDefault="0092308D">
      <w:pPr>
        <w:ind w:left="3434"/>
      </w:pPr>
      <w:r>
        <w:t>”</w:t>
      </w:r>
      <w:proofErr w:type="spellStart"/>
      <w:r>
        <w:rPr>
          <w:rFonts w:ascii="Courier New" w:eastAsia="Courier New" w:hAnsi="Courier New" w:cs="Courier New"/>
        </w:rPr>
        <w:t>a</w:t>
      </w:r>
      <w:proofErr w:type="spellEnd"/>
      <w:r>
        <w:rPr>
          <w:rFonts w:ascii="Courier New" w:eastAsia="Courier New" w:hAnsi="Courier New" w:cs="Courier New"/>
        </w:rPr>
        <w:t xml:space="preserve"> </w:t>
      </w:r>
      <w:r>
        <w:t xml:space="preserve">has the property </w:t>
      </w:r>
      <w:r>
        <w:rPr>
          <w:rFonts w:ascii="Courier New" w:eastAsia="Courier New" w:hAnsi="Courier New" w:cs="Courier New"/>
        </w:rPr>
        <w:t>P</w:t>
      </w:r>
      <w:r>
        <w:t>”,</w:t>
      </w:r>
    </w:p>
    <w:p w:rsidR="001F4F60" w:rsidRDefault="0092308D">
      <w:pPr>
        <w:spacing w:line="387" w:lineRule="auto"/>
        <w:ind w:left="2760" w:right="4989" w:firstLine="664"/>
      </w:pPr>
      <w:r>
        <w:t>”</w:t>
      </w:r>
      <w:r>
        <w:rPr>
          <w:rFonts w:ascii="Courier New" w:eastAsia="Courier New" w:hAnsi="Courier New" w:cs="Courier New"/>
        </w:rPr>
        <w:t xml:space="preserve">b </w:t>
      </w:r>
      <w:r>
        <w:t xml:space="preserve">has the property </w:t>
      </w:r>
      <w:r>
        <w:rPr>
          <w:rFonts w:ascii="Courier New" w:eastAsia="Courier New" w:hAnsi="Courier New" w:cs="Courier New"/>
        </w:rPr>
        <w:t>Q</w:t>
      </w:r>
      <w:r>
        <w:t>”</w:t>
      </w:r>
      <w:proofErr w:type="gramStart"/>
      <w:r>
        <w:t>, ”</w:t>
      </w:r>
      <w:proofErr w:type="gramEnd"/>
      <w:r>
        <w:rPr>
          <w:rFonts w:ascii="Courier New" w:eastAsia="Courier New" w:hAnsi="Courier New" w:cs="Courier New"/>
        </w:rPr>
        <w:t xml:space="preserve">c </w:t>
      </w:r>
      <w:r>
        <w:t xml:space="preserve">has the property </w:t>
      </w:r>
      <w:r>
        <w:rPr>
          <w:rFonts w:ascii="Courier New" w:eastAsia="Courier New" w:hAnsi="Courier New" w:cs="Courier New"/>
        </w:rPr>
        <w:t>R</w:t>
      </w:r>
      <w:r>
        <w:t>”, etc.</w:t>
      </w:r>
    </w:p>
    <w:p w:rsidR="005A6C2C" w:rsidRDefault="005A6C2C">
      <w:pPr>
        <w:spacing w:line="387" w:lineRule="auto"/>
        <w:ind w:left="2760" w:right="4989" w:firstLine="664"/>
      </w:pPr>
    </w:p>
    <w:p w:rsidR="001F4F60" w:rsidRDefault="0092308D">
      <w:pPr>
        <w:pStyle w:val="Heading2"/>
        <w:ind w:left="1210"/>
      </w:pPr>
      <w:r>
        <w:lastRenderedPageBreak/>
        <w:t>Example of symbolization</w:t>
      </w:r>
    </w:p>
    <w:p w:rsidR="005A6C2C" w:rsidRDefault="0092308D" w:rsidP="005A6C2C">
      <w:pPr>
        <w:spacing w:after="568"/>
        <w:ind w:left="1210"/>
      </w:pPr>
      <w:r>
        <w:t xml:space="preserve">If </w:t>
      </w:r>
      <w:r w:rsidRPr="00407909">
        <w:rPr>
          <w:rFonts w:ascii="Courier New" w:eastAsia="Courier New" w:hAnsi="Courier New" w:cs="Courier New"/>
          <w:highlight w:val="yellow"/>
        </w:rPr>
        <w:t>a</w:t>
      </w:r>
      <w:r>
        <w:rPr>
          <w:rFonts w:ascii="Courier New" w:eastAsia="Courier New" w:hAnsi="Courier New" w:cs="Courier New"/>
        </w:rPr>
        <w:t xml:space="preserve"> </w:t>
      </w:r>
      <w:r>
        <w:t xml:space="preserve">is the </w:t>
      </w:r>
      <w:proofErr w:type="gramStart"/>
      <w:r>
        <w:t>constant ”</w:t>
      </w:r>
      <w:proofErr w:type="gramEnd"/>
      <w:r>
        <w:t xml:space="preserve">Mars” and </w:t>
      </w:r>
    </w:p>
    <w:p w:rsidR="005A6C2C" w:rsidRDefault="0092308D" w:rsidP="005A6C2C">
      <w:pPr>
        <w:spacing w:after="568"/>
        <w:ind w:left="1210"/>
      </w:pPr>
      <w:r>
        <w:rPr>
          <w:rFonts w:ascii="Courier New" w:eastAsia="Courier New" w:hAnsi="Courier New" w:cs="Courier New"/>
          <w:sz w:val="74"/>
          <w:vertAlign w:val="subscript"/>
        </w:rPr>
        <w:t xml:space="preserve">P </w:t>
      </w:r>
      <w:r>
        <w:t xml:space="preserve">is the </w:t>
      </w:r>
      <w:proofErr w:type="gramStart"/>
      <w:r>
        <w:t>predicate</w:t>
      </w:r>
      <w:r w:rsidR="005A6C2C">
        <w:t xml:space="preserve"> </w:t>
      </w:r>
      <w:r>
        <w:t>”</w:t>
      </w:r>
      <w:proofErr w:type="gramEnd"/>
      <w:r>
        <w:t xml:space="preserve">_ is round” then </w:t>
      </w:r>
    </w:p>
    <w:p w:rsidR="001F4F60" w:rsidRDefault="0092308D" w:rsidP="005A6C2C">
      <w:pPr>
        <w:spacing w:after="568"/>
        <w:ind w:left="1210"/>
      </w:pPr>
      <w:proofErr w:type="gramStart"/>
      <w:r>
        <w:rPr>
          <w:rFonts w:ascii="Courier New" w:eastAsia="Courier New" w:hAnsi="Courier New" w:cs="Courier New"/>
        </w:rPr>
        <w:t>P(</w:t>
      </w:r>
      <w:proofErr w:type="gramEnd"/>
      <w:r>
        <w:rPr>
          <w:rFonts w:ascii="Courier New" w:eastAsia="Courier New" w:hAnsi="Courier New" w:cs="Courier New"/>
        </w:rPr>
        <w:t>a)</w:t>
      </w:r>
      <w:r w:rsidR="005A6C2C">
        <w:t xml:space="preserve">symbolizes </w:t>
      </w:r>
      <w:r>
        <w:t>”Mars is round”</w:t>
      </w:r>
    </w:p>
    <w:p w:rsidR="005A6C2C" w:rsidRDefault="005A6C2C">
      <w:pPr>
        <w:ind w:left="1874"/>
      </w:pPr>
    </w:p>
    <w:p w:rsidR="001F4F60" w:rsidRDefault="0092308D">
      <w:pPr>
        <w:pStyle w:val="Heading2"/>
        <w:ind w:left="490"/>
      </w:pPr>
      <w:r>
        <w:t>General sentences</w:t>
      </w:r>
    </w:p>
    <w:p w:rsidR="001F4F60" w:rsidRPr="005A6C2C" w:rsidRDefault="0092308D" w:rsidP="005A6C2C">
      <w:pPr>
        <w:spacing w:after="566"/>
        <w:ind w:left="490"/>
        <w:jc w:val="both"/>
        <w:rPr>
          <w:sz w:val="52"/>
          <w:szCs w:val="24"/>
        </w:rPr>
      </w:pPr>
      <w:r w:rsidRPr="005A6C2C">
        <w:rPr>
          <w:sz w:val="40"/>
          <w:szCs w:val="40"/>
        </w:rPr>
        <w:t xml:space="preserve">A </w:t>
      </w:r>
      <w:r w:rsidRPr="005A6C2C">
        <w:rPr>
          <w:sz w:val="40"/>
          <w:szCs w:val="40"/>
          <w:u w:val="single" w:color="000000"/>
        </w:rPr>
        <w:t xml:space="preserve">general </w:t>
      </w:r>
      <w:r w:rsidRPr="005A6C2C">
        <w:rPr>
          <w:sz w:val="40"/>
          <w:szCs w:val="40"/>
        </w:rPr>
        <w:t>sentence is built from a quantifier and a predicate</w:t>
      </w:r>
      <w:r w:rsidR="005A6C2C" w:rsidRPr="005A6C2C">
        <w:rPr>
          <w:sz w:val="40"/>
          <w:szCs w:val="40"/>
        </w:rPr>
        <w:t xml:space="preserve"> such</w:t>
      </w:r>
      <w:r w:rsidRPr="005A6C2C">
        <w:rPr>
          <w:sz w:val="40"/>
          <w:szCs w:val="40"/>
        </w:rPr>
        <w:t xml:space="preserve"> a sentence either says that all things have the indicated property</w:t>
      </w:r>
      <w:r w:rsidR="000D5B15" w:rsidRPr="005A6C2C">
        <w:rPr>
          <w:sz w:val="40"/>
          <w:szCs w:val="40"/>
        </w:rPr>
        <w:t xml:space="preserve"> </w:t>
      </w:r>
      <w:r w:rsidRPr="005A6C2C">
        <w:rPr>
          <w:sz w:val="40"/>
          <w:szCs w:val="40"/>
        </w:rPr>
        <w:t>(</w:t>
      </w:r>
      <w:r w:rsidRPr="005A6C2C">
        <w:rPr>
          <w:sz w:val="40"/>
          <w:szCs w:val="40"/>
          <w:u w:val="single" w:color="000000"/>
        </w:rPr>
        <w:t>universal quantification</w:t>
      </w:r>
      <w:r w:rsidRPr="005A6C2C">
        <w:rPr>
          <w:sz w:val="40"/>
          <w:szCs w:val="40"/>
        </w:rPr>
        <w:t>) or says that there exists a thing that has the indicated property</w:t>
      </w:r>
      <w:r w:rsidR="005A6C2C" w:rsidRPr="005A6C2C">
        <w:rPr>
          <w:sz w:val="40"/>
          <w:szCs w:val="40"/>
        </w:rPr>
        <w:t xml:space="preserve"> </w:t>
      </w:r>
      <w:r w:rsidRPr="005A6C2C">
        <w:rPr>
          <w:sz w:val="40"/>
          <w:szCs w:val="40"/>
        </w:rPr>
        <w:t>(</w:t>
      </w:r>
      <w:r w:rsidRPr="005A6C2C">
        <w:rPr>
          <w:sz w:val="40"/>
          <w:szCs w:val="40"/>
          <w:u w:val="single" w:color="000000"/>
        </w:rPr>
        <w:t>existential quantification</w:t>
      </w:r>
      <w:r w:rsidRPr="005A6C2C">
        <w:rPr>
          <w:sz w:val="40"/>
          <w:szCs w:val="40"/>
        </w:rPr>
        <w:t>)</w:t>
      </w:r>
    </w:p>
    <w:p w:rsidR="001F4F60" w:rsidRDefault="0092308D" w:rsidP="005A6C2C">
      <w:pPr>
        <w:pStyle w:val="Heading2"/>
        <w:ind w:left="0"/>
      </w:pPr>
      <w:r>
        <w:lastRenderedPageBreak/>
        <w:t>An example of a general sentence</w:t>
      </w:r>
    </w:p>
    <w:p w:rsidR="001F4F60" w:rsidRDefault="0092308D">
      <w:pPr>
        <w:spacing w:after="551"/>
        <w:ind w:left="3370"/>
      </w:pPr>
      <w:r>
        <w:t xml:space="preserve">The sentence </w:t>
      </w:r>
    </w:p>
    <w:p w:rsidR="001F4F60" w:rsidRDefault="0092308D">
      <w:pPr>
        <w:spacing w:line="500" w:lineRule="auto"/>
        <w:ind w:left="3360" w:right="4932" w:firstLine="398"/>
      </w:pPr>
      <w:r>
        <w:t>”</w:t>
      </w:r>
      <w:proofErr w:type="spellStart"/>
      <w:r>
        <w:t>every thing</w:t>
      </w:r>
      <w:proofErr w:type="spellEnd"/>
      <w:r>
        <w:t xml:space="preserve"> is round” is built from the quantifier</w:t>
      </w:r>
    </w:p>
    <w:p w:rsidR="001F4F60" w:rsidRDefault="0092308D">
      <w:pPr>
        <w:spacing w:after="551"/>
        <w:ind w:left="4034"/>
      </w:pPr>
      <w:r>
        <w:t>”</w:t>
      </w:r>
      <w:proofErr w:type="spellStart"/>
      <w:r>
        <w:t>every thing</w:t>
      </w:r>
      <w:proofErr w:type="spellEnd"/>
      <w:r>
        <w:t>”</w:t>
      </w:r>
    </w:p>
    <w:p w:rsidR="001F4F60" w:rsidRDefault="0092308D">
      <w:pPr>
        <w:spacing w:after="552"/>
        <w:ind w:left="3370"/>
      </w:pPr>
      <w:r>
        <w:t>And the predicate</w:t>
      </w:r>
    </w:p>
    <w:p w:rsidR="001F4F60" w:rsidRDefault="0092308D">
      <w:pPr>
        <w:ind w:left="4034"/>
      </w:pPr>
      <w:r>
        <w:t>”_ is round”</w:t>
      </w:r>
    </w:p>
    <w:p w:rsidR="001F4F60" w:rsidRDefault="0092308D">
      <w:pPr>
        <w:pStyle w:val="Heading2"/>
        <w:ind w:left="972"/>
      </w:pPr>
      <w:r>
        <w:t>Symbolization of general sentences</w:t>
      </w:r>
    </w:p>
    <w:p w:rsidR="001F4F60" w:rsidRDefault="0092308D">
      <w:pPr>
        <w:spacing w:after="620"/>
        <w:ind w:left="972"/>
      </w:pPr>
      <w:proofErr w:type="gramStart"/>
      <w:r>
        <w:rPr>
          <w:rFonts w:ascii="Courier New" w:eastAsia="Courier New" w:hAnsi="Courier New" w:cs="Courier New"/>
        </w:rPr>
        <w:t>x</w:t>
      </w:r>
      <w:proofErr w:type="gramEnd"/>
      <w:r>
        <w:t xml:space="preserve">, </w:t>
      </w:r>
      <w:r>
        <w:rPr>
          <w:rFonts w:ascii="Courier New" w:eastAsia="Courier New" w:hAnsi="Courier New" w:cs="Courier New"/>
        </w:rPr>
        <w:t>y</w:t>
      </w:r>
      <w:r>
        <w:t xml:space="preserve">, </w:t>
      </w:r>
      <w:r>
        <w:rPr>
          <w:rFonts w:ascii="Courier New" w:eastAsia="Courier New" w:hAnsi="Courier New" w:cs="Courier New"/>
        </w:rPr>
        <w:t>z</w:t>
      </w:r>
      <w:r>
        <w:t>, ... stands for variables</w:t>
      </w:r>
    </w:p>
    <w:p w:rsidR="001F4F60" w:rsidRDefault="0092308D">
      <w:pPr>
        <w:spacing w:after="494"/>
        <w:ind w:left="972"/>
      </w:pPr>
      <w:r>
        <w:rPr>
          <w:rFonts w:ascii="Segoe UI Symbol" w:eastAsia="Segoe UI Symbol" w:hAnsi="Segoe UI Symbol" w:cs="Segoe UI Symbol"/>
        </w:rPr>
        <w:lastRenderedPageBreak/>
        <w:t>∀</w:t>
      </w:r>
      <w:r>
        <w:rPr>
          <w:rFonts w:ascii="Courier New" w:eastAsia="Courier New" w:hAnsi="Courier New" w:cs="Courier New"/>
        </w:rPr>
        <w:t xml:space="preserve">x </w:t>
      </w:r>
      <w:r>
        <w:t xml:space="preserve">and </w:t>
      </w:r>
      <w:r>
        <w:rPr>
          <w:rFonts w:ascii="Segoe UI Symbol" w:eastAsia="Segoe UI Symbol" w:hAnsi="Segoe UI Symbol" w:cs="Segoe UI Symbol"/>
        </w:rPr>
        <w:t>∃</w:t>
      </w:r>
      <w:r>
        <w:rPr>
          <w:rFonts w:ascii="Courier New" w:eastAsia="Courier New" w:hAnsi="Courier New" w:cs="Courier New"/>
        </w:rPr>
        <w:t xml:space="preserve">y </w:t>
      </w:r>
      <w:r>
        <w:t>stand for respectively</w:t>
      </w:r>
    </w:p>
    <w:p w:rsidR="001F4F60" w:rsidRDefault="0092308D">
      <w:pPr>
        <w:spacing w:after="259"/>
        <w:ind w:left="972"/>
      </w:pPr>
      <w:r>
        <w:t xml:space="preserve">”for all </w:t>
      </w:r>
      <w:r>
        <w:rPr>
          <w:rFonts w:ascii="Courier New" w:eastAsia="Courier New" w:hAnsi="Courier New" w:cs="Courier New"/>
          <w:sz w:val="74"/>
          <w:vertAlign w:val="subscript"/>
        </w:rPr>
        <w:t xml:space="preserve">x </w:t>
      </w:r>
      <w:r>
        <w:t xml:space="preserve">it is the case that” </w:t>
      </w:r>
      <w:proofErr w:type="gramStart"/>
      <w:r>
        <w:t>and ”</w:t>
      </w:r>
      <w:proofErr w:type="gramEnd"/>
      <w:r>
        <w:t xml:space="preserve">there exists a </w:t>
      </w:r>
      <w:r>
        <w:rPr>
          <w:rFonts w:ascii="Courier New" w:eastAsia="Courier New" w:hAnsi="Courier New" w:cs="Courier New"/>
          <w:sz w:val="74"/>
          <w:vertAlign w:val="subscript"/>
        </w:rPr>
        <w:t xml:space="preserve">y </w:t>
      </w:r>
      <w:r>
        <w:t>such that”</w:t>
      </w:r>
    </w:p>
    <w:p w:rsidR="001F4F60" w:rsidRDefault="0092308D">
      <w:pPr>
        <w:spacing w:after="692" w:line="259" w:lineRule="auto"/>
        <w:ind w:left="957"/>
      </w:pPr>
      <w:r>
        <w:rPr>
          <w:b/>
          <w:i/>
        </w:rPr>
        <w:t>General sentences are symbolized</w:t>
      </w:r>
    </w:p>
    <w:p w:rsidR="001F4F60" w:rsidRDefault="0092308D">
      <w:pPr>
        <w:spacing w:after="506" w:line="259" w:lineRule="auto"/>
        <w:ind w:left="1636"/>
      </w:pPr>
      <w:r>
        <w:rPr>
          <w:rFonts w:ascii="Segoe UI Symbol" w:eastAsia="Segoe UI Symbol" w:hAnsi="Segoe UI Symbol" w:cs="Segoe UI Symbol"/>
        </w:rPr>
        <w:t>∀</w:t>
      </w:r>
      <w:proofErr w:type="spellStart"/>
      <w:r>
        <w:rPr>
          <w:rFonts w:ascii="Courier New" w:eastAsia="Courier New" w:hAnsi="Courier New" w:cs="Courier New"/>
        </w:rPr>
        <w:t>xP</w:t>
      </w:r>
      <w:proofErr w:type="spellEnd"/>
      <w:r>
        <w:rPr>
          <w:rFonts w:ascii="Courier New" w:eastAsia="Courier New" w:hAnsi="Courier New" w:cs="Courier New"/>
        </w:rPr>
        <w:t>(x)</w:t>
      </w:r>
      <w:r>
        <w:t xml:space="preserve">, </w:t>
      </w:r>
      <w:r>
        <w:rPr>
          <w:rFonts w:ascii="Segoe UI Symbol" w:eastAsia="Segoe UI Symbol" w:hAnsi="Segoe UI Symbol" w:cs="Segoe UI Symbol"/>
        </w:rPr>
        <w:t>∃</w:t>
      </w:r>
      <w:proofErr w:type="spellStart"/>
      <w:r>
        <w:rPr>
          <w:rFonts w:ascii="Courier New" w:eastAsia="Courier New" w:hAnsi="Courier New" w:cs="Courier New"/>
        </w:rPr>
        <w:t>yQ</w:t>
      </w:r>
      <w:proofErr w:type="spellEnd"/>
      <w:r>
        <w:rPr>
          <w:rFonts w:ascii="Courier New" w:eastAsia="Courier New" w:hAnsi="Courier New" w:cs="Courier New"/>
        </w:rPr>
        <w:t>(y)</w:t>
      </w:r>
      <w:proofErr w:type="gramStart"/>
      <w:r>
        <w:t>, ...</w:t>
      </w:r>
      <w:proofErr w:type="gramEnd"/>
    </w:p>
    <w:p w:rsidR="001F4F60" w:rsidRDefault="005A6C2C">
      <w:pPr>
        <w:spacing w:after="568" w:line="259" w:lineRule="auto"/>
        <w:ind w:left="957"/>
      </w:pPr>
      <w:r>
        <w:rPr>
          <w:b/>
          <w:i/>
        </w:rPr>
        <w:t>Which</w:t>
      </w:r>
      <w:r w:rsidR="0092308D">
        <w:rPr>
          <w:b/>
          <w:i/>
        </w:rPr>
        <w:t xml:space="preserve"> respectively stand for</w:t>
      </w:r>
    </w:p>
    <w:p w:rsidR="001F4F60" w:rsidRDefault="0092308D">
      <w:pPr>
        <w:ind w:left="1636"/>
      </w:pPr>
      <w:r>
        <w:t xml:space="preserve">”for all </w:t>
      </w:r>
      <w:r>
        <w:rPr>
          <w:rFonts w:ascii="Courier New" w:eastAsia="Courier New" w:hAnsi="Courier New" w:cs="Courier New"/>
        </w:rPr>
        <w:t xml:space="preserve">x </w:t>
      </w:r>
      <w:r>
        <w:t xml:space="preserve">it is the case that </w:t>
      </w:r>
      <w:r>
        <w:rPr>
          <w:rFonts w:ascii="Courier New" w:eastAsia="Courier New" w:hAnsi="Courier New" w:cs="Courier New"/>
        </w:rPr>
        <w:t xml:space="preserve">x </w:t>
      </w:r>
      <w:r>
        <w:t xml:space="preserve">has the property </w:t>
      </w:r>
      <w:r>
        <w:rPr>
          <w:rFonts w:ascii="Courier New" w:eastAsia="Courier New" w:hAnsi="Courier New" w:cs="Courier New"/>
        </w:rPr>
        <w:t>P</w:t>
      </w:r>
      <w:r>
        <w:t>”,</w:t>
      </w:r>
    </w:p>
    <w:p w:rsidR="001F4F60" w:rsidRDefault="0092308D">
      <w:pPr>
        <w:spacing w:line="508" w:lineRule="auto"/>
        <w:ind w:left="962" w:right="1024" w:firstLine="664"/>
      </w:pPr>
      <w:r>
        <w:t xml:space="preserve">”there exists a </w:t>
      </w:r>
      <w:r>
        <w:rPr>
          <w:rFonts w:ascii="Courier New" w:eastAsia="Courier New" w:hAnsi="Courier New" w:cs="Courier New"/>
        </w:rPr>
        <w:t xml:space="preserve">y </w:t>
      </w:r>
      <w:r>
        <w:t xml:space="preserve">such that </w:t>
      </w:r>
      <w:r>
        <w:rPr>
          <w:rFonts w:ascii="Courier New" w:eastAsia="Courier New" w:hAnsi="Courier New" w:cs="Courier New"/>
        </w:rPr>
        <w:t xml:space="preserve">y </w:t>
      </w:r>
      <w:r>
        <w:t xml:space="preserve">has the property </w:t>
      </w:r>
      <w:r>
        <w:rPr>
          <w:rFonts w:ascii="Courier New" w:eastAsia="Courier New" w:hAnsi="Courier New" w:cs="Courier New"/>
        </w:rPr>
        <w:t>Q</w:t>
      </w:r>
      <w:r>
        <w:t>”, etc.</w:t>
      </w:r>
    </w:p>
    <w:p w:rsidR="001F4F60" w:rsidRDefault="0092308D">
      <w:pPr>
        <w:pStyle w:val="Heading2"/>
        <w:ind w:left="1570"/>
      </w:pPr>
      <w:r>
        <w:lastRenderedPageBreak/>
        <w:t>Example of symbolization</w:t>
      </w:r>
    </w:p>
    <w:p w:rsidR="001F4F60" w:rsidRDefault="0092308D">
      <w:pPr>
        <w:spacing w:after="568"/>
        <w:ind w:left="1570"/>
      </w:pPr>
      <w:r>
        <w:t xml:space="preserve">If </w:t>
      </w:r>
      <w:r>
        <w:rPr>
          <w:rFonts w:ascii="Courier New" w:eastAsia="Courier New" w:hAnsi="Courier New" w:cs="Courier New"/>
        </w:rPr>
        <w:t xml:space="preserve">P </w:t>
      </w:r>
      <w:r>
        <w:t>is the predicate</w:t>
      </w:r>
    </w:p>
    <w:p w:rsidR="001F4F60" w:rsidRDefault="0092308D">
      <w:pPr>
        <w:spacing w:line="463" w:lineRule="auto"/>
        <w:ind w:left="1560" w:right="4041" w:firstLine="664"/>
      </w:pPr>
      <w:r>
        <w:t xml:space="preserve">”_ is round” then </w:t>
      </w:r>
      <w:r>
        <w:rPr>
          <w:rFonts w:ascii="Segoe UI Symbol" w:eastAsia="Segoe UI Symbol" w:hAnsi="Segoe UI Symbol" w:cs="Segoe UI Symbol"/>
        </w:rPr>
        <w:t>∀</w:t>
      </w:r>
      <w:proofErr w:type="spellStart"/>
      <w:r>
        <w:rPr>
          <w:rFonts w:ascii="Courier New" w:eastAsia="Courier New" w:hAnsi="Courier New" w:cs="Courier New"/>
        </w:rPr>
        <w:t>xP</w:t>
      </w:r>
      <w:proofErr w:type="spellEnd"/>
      <w:r>
        <w:rPr>
          <w:rFonts w:ascii="Courier New" w:eastAsia="Courier New" w:hAnsi="Courier New" w:cs="Courier New"/>
        </w:rPr>
        <w:t>(x</w:t>
      </w:r>
      <w:proofErr w:type="gramStart"/>
      <w:r>
        <w:rPr>
          <w:rFonts w:ascii="Courier New" w:eastAsia="Courier New" w:hAnsi="Courier New" w:cs="Courier New"/>
        </w:rPr>
        <w:t>)</w:t>
      </w:r>
      <w:r>
        <w:t>symbolizes</w:t>
      </w:r>
      <w:proofErr w:type="gramEnd"/>
      <w:r>
        <w:t xml:space="preserve"> the sentence</w:t>
      </w:r>
    </w:p>
    <w:p w:rsidR="001F4F60" w:rsidRDefault="0092308D">
      <w:pPr>
        <w:spacing w:line="507" w:lineRule="auto"/>
        <w:ind w:left="1560" w:right="2818" w:firstLine="664"/>
      </w:pPr>
      <w:r>
        <w:t xml:space="preserve">”for all </w:t>
      </w:r>
      <w:r>
        <w:rPr>
          <w:rFonts w:ascii="Courier New" w:eastAsia="Courier New" w:hAnsi="Courier New" w:cs="Courier New"/>
        </w:rPr>
        <w:t xml:space="preserve">x </w:t>
      </w:r>
      <w:r>
        <w:t xml:space="preserve">it is the case that </w:t>
      </w:r>
      <w:r>
        <w:rPr>
          <w:rFonts w:ascii="Courier New" w:eastAsia="Courier New" w:hAnsi="Courier New" w:cs="Courier New"/>
        </w:rPr>
        <w:t xml:space="preserve">x </w:t>
      </w:r>
      <w:r>
        <w:t xml:space="preserve">is round” that is </w:t>
      </w:r>
    </w:p>
    <w:p w:rsidR="001F4F60" w:rsidRDefault="0092308D">
      <w:pPr>
        <w:ind w:left="2234"/>
      </w:pPr>
      <w:r>
        <w:t>”</w:t>
      </w:r>
      <w:r w:rsidR="00E34760">
        <w:t>everything</w:t>
      </w:r>
      <w:r>
        <w:t xml:space="preserve"> is round”</w:t>
      </w:r>
    </w:p>
    <w:p w:rsidR="001F4F60" w:rsidRDefault="0092308D">
      <w:pPr>
        <w:ind w:left="2050" w:right="224"/>
      </w:pPr>
      <w:r>
        <w:t>There are many more sorts of sentences that singular and general sentences!</w:t>
      </w:r>
    </w:p>
    <w:p w:rsidR="001F4F60" w:rsidRDefault="0092308D">
      <w:pPr>
        <w:spacing w:after="569"/>
        <w:ind w:left="1210" w:right="552"/>
      </w:pPr>
      <w:r>
        <w:lastRenderedPageBreak/>
        <w:t xml:space="preserve">A predicate can have an arbitrary number of places, this number is called the </w:t>
      </w:r>
      <w:r>
        <w:rPr>
          <w:u w:val="single" w:color="000000"/>
        </w:rPr>
        <w:t xml:space="preserve">arity </w:t>
      </w:r>
      <w:r>
        <w:t>of the predicate</w:t>
      </w:r>
    </w:p>
    <w:p w:rsidR="001F4F60" w:rsidRDefault="0092308D">
      <w:pPr>
        <w:pStyle w:val="Heading2"/>
        <w:ind w:left="1210"/>
      </w:pPr>
      <w:r>
        <w:t>Examples</w:t>
      </w:r>
    </w:p>
    <w:p w:rsidR="00E34760" w:rsidRDefault="0092308D">
      <w:pPr>
        <w:spacing w:after="553"/>
        <w:ind w:left="1210" w:right="847"/>
      </w:pPr>
      <w:r>
        <w:t xml:space="preserve">The </w:t>
      </w:r>
      <w:proofErr w:type="gramStart"/>
      <w:r w:rsidR="00E34760">
        <w:t>sentence</w:t>
      </w:r>
      <w:r w:rsidR="00407909">
        <w:t xml:space="preserve"> </w:t>
      </w:r>
      <w:r w:rsidR="00E34760">
        <w:t>”</w:t>
      </w:r>
      <w:proofErr w:type="gramEnd"/>
      <w:r w:rsidRPr="00407909">
        <w:rPr>
          <w:highlight w:val="yellow"/>
        </w:rPr>
        <w:t>John</w:t>
      </w:r>
      <w:r>
        <w:t xml:space="preserve"> </w:t>
      </w:r>
      <w:r w:rsidRPr="00407909">
        <w:rPr>
          <w:color w:val="auto"/>
          <w:highlight w:val="green"/>
        </w:rPr>
        <w:t>is taller</w:t>
      </w:r>
      <w:r w:rsidRPr="00407909">
        <w:rPr>
          <w:color w:val="auto"/>
        </w:rPr>
        <w:t xml:space="preserve"> </w:t>
      </w:r>
      <w:r>
        <w:t xml:space="preserve">than </w:t>
      </w:r>
      <w:proofErr w:type="spellStart"/>
      <w:r w:rsidRPr="00407909">
        <w:rPr>
          <w:highlight w:val="yellow"/>
        </w:rPr>
        <w:t>Poul</w:t>
      </w:r>
      <w:proofErr w:type="spellEnd"/>
      <w:r>
        <w:t xml:space="preserve">” is built from </w:t>
      </w:r>
    </w:p>
    <w:p w:rsidR="00E34760" w:rsidRDefault="0092308D" w:rsidP="00E34760">
      <w:pPr>
        <w:spacing w:after="553"/>
        <w:ind w:left="1210" w:right="847"/>
      </w:pPr>
      <w:r>
        <w:t>the constants</w:t>
      </w:r>
      <w:r w:rsidR="00E34760">
        <w:t xml:space="preserve"> =</w:t>
      </w:r>
      <w:proofErr w:type="gramStart"/>
      <w:r w:rsidR="00E34760">
        <w:t xml:space="preserve">&gt; </w:t>
      </w:r>
      <w:r>
        <w:t>”</w:t>
      </w:r>
      <w:proofErr w:type="gramEnd"/>
      <w:r>
        <w:t xml:space="preserve">John” </w:t>
      </w:r>
      <w:r w:rsidR="00E34760">
        <w:t>and</w:t>
      </w:r>
      <w:r>
        <w:t xml:space="preserve"> ”</w:t>
      </w:r>
      <w:proofErr w:type="spellStart"/>
      <w:r>
        <w:t>Poul</w:t>
      </w:r>
      <w:proofErr w:type="spellEnd"/>
      <w:r>
        <w:t xml:space="preserve">” </w:t>
      </w:r>
    </w:p>
    <w:p w:rsidR="001F4F60" w:rsidRDefault="0092308D" w:rsidP="00E34760">
      <w:pPr>
        <w:spacing w:after="553"/>
        <w:ind w:left="1210" w:right="847"/>
      </w:pPr>
      <w:r>
        <w:t>and the predicate</w:t>
      </w:r>
      <w:r w:rsidR="00E34760">
        <w:t xml:space="preserve"> =</w:t>
      </w:r>
      <w:proofErr w:type="gramStart"/>
      <w:r w:rsidR="00E34760">
        <w:t xml:space="preserve">&gt; </w:t>
      </w:r>
      <w:r>
        <w:t>”</w:t>
      </w:r>
      <w:proofErr w:type="gramEnd"/>
      <w:r>
        <w:t xml:space="preserve">_ is taller than _” which has the </w:t>
      </w:r>
      <w:r w:rsidR="00E34760">
        <w:t xml:space="preserve">2 </w:t>
      </w:r>
      <w:r>
        <w:t xml:space="preserve">arity </w:t>
      </w:r>
    </w:p>
    <w:p w:rsidR="001F4F60" w:rsidRDefault="0092308D" w:rsidP="004F1E3B">
      <w:pPr>
        <w:pStyle w:val="Heading2"/>
        <w:spacing w:after="664"/>
        <w:ind w:left="0"/>
      </w:pPr>
      <w:r>
        <w:lastRenderedPageBreak/>
        <w:t xml:space="preserve">Examples </w:t>
      </w:r>
    </w:p>
    <w:p w:rsidR="001F4F60" w:rsidRDefault="0092308D" w:rsidP="00E34760">
      <w:pPr>
        <w:tabs>
          <w:tab w:val="left" w:pos="9540"/>
        </w:tabs>
        <w:spacing w:after="607" w:line="521" w:lineRule="auto"/>
        <w:ind w:left="1665" w:right="65" w:firstLine="679"/>
        <w:jc w:val="both"/>
      </w:pPr>
      <w:r>
        <w:rPr>
          <w:rFonts w:ascii="Courier New" w:eastAsia="Courier New" w:hAnsi="Courier New" w:cs="Courier New"/>
        </w:rPr>
        <w:t>P(a)</w:t>
      </w:r>
      <w:r>
        <w:t xml:space="preserve">, </w:t>
      </w:r>
      <w:r>
        <w:rPr>
          <w:rFonts w:ascii="Courier New" w:eastAsia="Courier New" w:hAnsi="Courier New" w:cs="Courier New"/>
        </w:rPr>
        <w:t>P(x)</w:t>
      </w:r>
      <w:r>
        <w:t xml:space="preserve">,  </w:t>
      </w:r>
      <w:r>
        <w:rPr>
          <w:rFonts w:ascii="Courier New" w:eastAsia="Courier New" w:hAnsi="Courier New" w:cs="Courier New"/>
        </w:rPr>
        <w:t>Q(</w:t>
      </w:r>
      <w:proofErr w:type="spellStart"/>
      <w:r>
        <w:rPr>
          <w:rFonts w:ascii="Courier New" w:eastAsia="Courier New" w:hAnsi="Courier New" w:cs="Courier New"/>
        </w:rPr>
        <w:t>b,z</w:t>
      </w:r>
      <w:proofErr w:type="spellEnd"/>
      <w:r>
        <w:rPr>
          <w:rFonts w:ascii="Courier New" w:eastAsia="Courier New" w:hAnsi="Courier New" w:cs="Courier New"/>
        </w:rPr>
        <w:t>), Q(</w:t>
      </w:r>
      <w:proofErr w:type="spellStart"/>
      <w:r>
        <w:rPr>
          <w:rFonts w:ascii="Courier New" w:eastAsia="Courier New" w:hAnsi="Courier New" w:cs="Courier New"/>
        </w:rPr>
        <w:t>y,z</w:t>
      </w:r>
      <w:proofErr w:type="spellEnd"/>
      <w:r>
        <w:rPr>
          <w:rFonts w:ascii="Courier New" w:eastAsia="Courier New" w:hAnsi="Courier New" w:cs="Courier New"/>
        </w:rPr>
        <w:t xml:space="preserve">) </w:t>
      </w:r>
      <w:r>
        <w:t xml:space="preserve">where </w:t>
      </w:r>
      <w:r>
        <w:rPr>
          <w:rFonts w:ascii="Courier New" w:eastAsia="Courier New" w:hAnsi="Courier New" w:cs="Courier New"/>
        </w:rPr>
        <w:t xml:space="preserve">P </w:t>
      </w:r>
      <w:r>
        <w:t xml:space="preserve">has </w:t>
      </w:r>
      <w:r w:rsidR="00E34760">
        <w:t xml:space="preserve">1 </w:t>
      </w:r>
      <w:r>
        <w:t xml:space="preserve">arity and </w:t>
      </w:r>
      <w:r>
        <w:rPr>
          <w:rFonts w:ascii="Courier New" w:eastAsia="Courier New" w:hAnsi="Courier New" w:cs="Courier New"/>
        </w:rPr>
        <w:t xml:space="preserve">Q </w:t>
      </w:r>
      <w:r>
        <w:t xml:space="preserve">has </w:t>
      </w:r>
      <w:r w:rsidR="00E34760">
        <w:t>2</w:t>
      </w:r>
      <w:r>
        <w:t xml:space="preserve">arity  </w:t>
      </w:r>
      <w:r>
        <w:rPr>
          <w:u w:val="single" w:color="000000"/>
        </w:rPr>
        <w:t xml:space="preserve">Compound formulas </w:t>
      </w:r>
      <w:r>
        <w:t>are built using the connectives</w:t>
      </w:r>
      <w:r w:rsidR="00E34760">
        <w:t xml:space="preserve"> </w:t>
      </w:r>
      <w:r w:rsidRPr="00407909">
        <w:rPr>
          <w:rFonts w:ascii="Segoe UI Symbol" w:eastAsia="Segoe UI Symbol" w:hAnsi="Segoe UI Symbol" w:cs="Segoe UI Symbol"/>
          <w:highlight w:val="green"/>
        </w:rPr>
        <w:t>¬, ∧, ∨, ⇒</w:t>
      </w:r>
      <w:r w:rsidR="00E34760">
        <w:rPr>
          <w:rFonts w:ascii="Segoe UI Symbol" w:eastAsia="Segoe UI Symbol" w:hAnsi="Segoe UI Symbol" w:cs="Segoe UI Symbol"/>
        </w:rPr>
        <w:t xml:space="preserve"> </w:t>
      </w:r>
      <w:r>
        <w:t>and the quantifiers</w:t>
      </w:r>
      <w:r w:rsidR="00E34760">
        <w:t xml:space="preserve"> </w:t>
      </w:r>
      <w:r>
        <w:rPr>
          <w:rFonts w:ascii="Segoe UI Symbol" w:eastAsia="Segoe UI Symbol" w:hAnsi="Segoe UI Symbol" w:cs="Segoe UI Symbol"/>
        </w:rPr>
        <w:t>∀</w:t>
      </w:r>
      <w:r>
        <w:rPr>
          <w:rFonts w:ascii="Courier New" w:eastAsia="Courier New" w:hAnsi="Courier New" w:cs="Courier New"/>
        </w:rPr>
        <w:t>x</w:t>
      </w:r>
      <w:r>
        <w:t xml:space="preserve">, </w:t>
      </w:r>
      <w:r>
        <w:rPr>
          <w:rFonts w:ascii="Segoe UI Symbol" w:eastAsia="Segoe UI Symbol" w:hAnsi="Segoe UI Symbol" w:cs="Segoe UI Symbol"/>
        </w:rPr>
        <w:t>∃</w:t>
      </w:r>
      <w:r>
        <w:rPr>
          <w:rFonts w:ascii="Courier New" w:eastAsia="Courier New" w:hAnsi="Courier New" w:cs="Courier New"/>
        </w:rPr>
        <w:t xml:space="preserve">y </w:t>
      </w:r>
      <w:r>
        <w:t xml:space="preserve">together with </w:t>
      </w:r>
      <w:r w:rsidR="00E34760">
        <w:t>parentheses</w:t>
      </w:r>
      <w:r w:rsidR="00717B23">
        <w:t xml:space="preserve"> </w:t>
      </w:r>
    </w:p>
    <w:p w:rsidR="001F4F60" w:rsidRDefault="0092308D">
      <w:pPr>
        <w:pStyle w:val="Heading2"/>
        <w:spacing w:after="698"/>
        <w:ind w:left="292"/>
      </w:pPr>
      <w:r>
        <w:t>Examples of compound formulas</w:t>
      </w:r>
    </w:p>
    <w:p w:rsidR="001F4F60" w:rsidRDefault="0092308D">
      <w:pPr>
        <w:spacing w:after="506" w:line="259" w:lineRule="auto"/>
        <w:ind w:left="519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P(x</w:t>
      </w:r>
      <w:proofErr w:type="gramStart"/>
      <w:r>
        <w:rPr>
          <w:rFonts w:ascii="Courier New" w:eastAsia="Courier New" w:hAnsi="Courier New" w:cs="Courier New"/>
        </w:rPr>
        <w:t>)</w:t>
      </w:r>
      <w:r>
        <w:rPr>
          <w:rFonts w:ascii="Segoe UI Symbol" w:eastAsia="Segoe UI Symbol" w:hAnsi="Segoe UI Symbol" w:cs="Segoe UI Symbol"/>
        </w:rPr>
        <w:t>∧</w:t>
      </w:r>
      <w:proofErr w:type="gramEnd"/>
      <w:r>
        <w:rPr>
          <w:rFonts w:ascii="Courier New" w:eastAsia="Courier New" w:hAnsi="Courier New" w:cs="Courier New"/>
        </w:rPr>
        <w:t>Q(</w:t>
      </w:r>
      <w:proofErr w:type="spellStart"/>
      <w:r>
        <w:rPr>
          <w:rFonts w:ascii="Courier New" w:eastAsia="Courier New" w:hAnsi="Courier New" w:cs="Courier New"/>
        </w:rPr>
        <w:t>b,z</w:t>
      </w:r>
      <w:proofErr w:type="spellEnd"/>
      <w:r>
        <w:rPr>
          <w:rFonts w:ascii="Courier New" w:eastAsia="Courier New" w:hAnsi="Courier New" w:cs="Courier New"/>
        </w:rPr>
        <w:t>)</w:t>
      </w:r>
      <w:r>
        <w:t xml:space="preserve">, </w:t>
      </w:r>
      <w:r>
        <w:rPr>
          <w:rFonts w:ascii="Segoe UI Symbol" w:eastAsia="Segoe UI Symbol" w:hAnsi="Segoe UI Symbol" w:cs="Segoe UI Symbol"/>
        </w:rPr>
        <w:t>∀</w:t>
      </w:r>
      <w:proofErr w:type="spellStart"/>
      <w:r>
        <w:rPr>
          <w:rFonts w:ascii="Courier New" w:eastAsia="Courier New" w:hAnsi="Courier New" w:cs="Courier New"/>
        </w:rPr>
        <w:t>xP</w:t>
      </w:r>
      <w:proofErr w:type="spellEnd"/>
      <w:r>
        <w:rPr>
          <w:rFonts w:ascii="Courier New" w:eastAsia="Courier New" w:hAnsi="Courier New" w:cs="Courier New"/>
        </w:rPr>
        <w:t>(x)</w:t>
      </w:r>
      <w:r>
        <w:t xml:space="preserve">,  </w:t>
      </w:r>
      <w:r>
        <w:rPr>
          <w:rFonts w:ascii="Segoe UI Symbol" w:eastAsia="Segoe UI Symbol" w:hAnsi="Segoe UI Symbol" w:cs="Segoe UI Symbol"/>
        </w:rPr>
        <w:t>∃</w:t>
      </w:r>
      <w:proofErr w:type="spellStart"/>
      <w:r>
        <w:rPr>
          <w:rFonts w:ascii="Courier New" w:eastAsia="Courier New" w:hAnsi="Courier New" w:cs="Courier New"/>
        </w:rPr>
        <w:t>zQ</w:t>
      </w:r>
      <w:proofErr w:type="spellEnd"/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b,z</w:t>
      </w:r>
      <w:proofErr w:type="spellEnd"/>
      <w:r>
        <w:rPr>
          <w:rFonts w:ascii="Courier New" w:eastAsia="Courier New" w:hAnsi="Courier New" w:cs="Courier New"/>
        </w:rPr>
        <w:t>)</w:t>
      </w:r>
    </w:p>
    <w:p w:rsidR="0050380C" w:rsidRDefault="008F5A92">
      <w:pPr>
        <w:spacing w:after="506" w:line="259" w:lineRule="auto"/>
        <w:ind w:left="519"/>
        <w:rPr>
          <w:rFonts w:ascii="Courier New" w:eastAsia="Courier New" w:hAnsi="Courier New" w:cs="Courier New"/>
        </w:rPr>
      </w:pPr>
      <w:r>
        <w:rPr>
          <w:noProof/>
        </w:rPr>
        <w:lastRenderedPageBreak/>
        <w:t xml:space="preserve"> </w:t>
      </w:r>
      <w:r w:rsidR="0050380C">
        <w:rPr>
          <w:noProof/>
        </w:rPr>
        <w:lastRenderedPageBreak/>
        <w:drawing>
          <wp:inline distT="0" distB="0" distL="0" distR="0" wp14:anchorId="7EBAA7E5" wp14:editId="32A343A7">
            <wp:extent cx="8670925" cy="6503194"/>
            <wp:effectExtent l="0" t="0" r="0" b="0"/>
            <wp:docPr id="3" name="Picture 3" descr="Image result for predicate logic exa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redicate logic examp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0925" cy="650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80C" w:rsidRDefault="0050380C" w:rsidP="00BA655E">
      <w:pPr>
        <w:spacing w:after="506" w:line="259" w:lineRule="auto"/>
        <w:ind w:left="519"/>
        <w:rPr>
          <w:rFonts w:ascii="Courier New" w:eastAsia="Courier New" w:hAnsi="Courier New" w:cs="Courier New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5285E839" wp14:editId="349871A7">
            <wp:extent cx="8670925" cy="5190700"/>
            <wp:effectExtent l="0" t="0" r="0" b="0"/>
            <wp:docPr id="4" name="Picture 4" descr="Image result for predicate logic exa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predicate logic exampl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0925" cy="51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0380C">
      <w:footerReference w:type="even" r:id="rId9"/>
      <w:footerReference w:type="default" r:id="rId10"/>
      <w:footerReference w:type="first" r:id="rId11"/>
      <w:pgSz w:w="16840" w:h="11900" w:orient="landscape"/>
      <w:pgMar w:top="653" w:right="1820" w:bottom="938" w:left="1365" w:header="720" w:footer="11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D47" w:rsidRDefault="00F71D47">
      <w:pPr>
        <w:spacing w:after="0" w:line="240" w:lineRule="auto"/>
      </w:pPr>
      <w:r>
        <w:separator/>
      </w:r>
    </w:p>
  </w:endnote>
  <w:endnote w:type="continuationSeparator" w:id="0">
    <w:p w:rsidR="00F71D47" w:rsidRDefault="00F7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F60" w:rsidRDefault="0092308D">
    <w:pPr>
      <w:spacing w:after="0" w:line="259" w:lineRule="auto"/>
      <w:ind w:left="0" w:right="626" w:firstLine="0"/>
      <w:jc w:val="right"/>
    </w:pPr>
    <w:r>
      <w:rPr>
        <w:rFonts w:ascii="Times New Roman" w:eastAsia="Times New Roman" w:hAnsi="Times New Roman" w:cs="Times New Roman"/>
        <w:sz w:val="28"/>
      </w:rPr>
      <w:fldChar w:fldCharType="begin"/>
    </w:r>
    <w:r>
      <w:rPr>
        <w:rFonts w:ascii="Times New Roman" w:eastAsia="Times New Roman" w:hAnsi="Times New Roman" w:cs="Times New Roman"/>
        <w:sz w:val="28"/>
      </w:rPr>
      <w:instrText xml:space="preserve"> PAGE   \* MERGEFORMAT </w:instrText>
    </w:r>
    <w:r>
      <w:rPr>
        <w:rFonts w:ascii="Times New Roman" w:eastAsia="Times New Roman" w:hAnsi="Times New Roman" w:cs="Times New Roman"/>
        <w:sz w:val="28"/>
      </w:rPr>
      <w:fldChar w:fldCharType="separate"/>
    </w:r>
    <w:r>
      <w:rPr>
        <w:rFonts w:ascii="Times New Roman" w:eastAsia="Times New Roman" w:hAnsi="Times New Roman" w:cs="Times New Roman"/>
        <w:sz w:val="28"/>
      </w:rPr>
      <w:t>1</w:t>
    </w:r>
    <w:r>
      <w:rPr>
        <w:rFonts w:ascii="Times New Roman" w:eastAsia="Times New Roman" w:hAnsi="Times New Roman" w:cs="Times New Roman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F60" w:rsidRDefault="0092308D">
    <w:pPr>
      <w:spacing w:after="0" w:line="259" w:lineRule="auto"/>
      <w:ind w:left="0" w:right="626" w:firstLine="0"/>
      <w:jc w:val="right"/>
    </w:pPr>
    <w:r>
      <w:rPr>
        <w:rFonts w:ascii="Times New Roman" w:eastAsia="Times New Roman" w:hAnsi="Times New Roman" w:cs="Times New Roman"/>
        <w:sz w:val="28"/>
      </w:rPr>
      <w:fldChar w:fldCharType="begin"/>
    </w:r>
    <w:r>
      <w:rPr>
        <w:rFonts w:ascii="Times New Roman" w:eastAsia="Times New Roman" w:hAnsi="Times New Roman" w:cs="Times New Roman"/>
        <w:sz w:val="28"/>
      </w:rPr>
      <w:instrText xml:space="preserve"> PAGE   \* MERGEFORMAT </w:instrText>
    </w:r>
    <w:r>
      <w:rPr>
        <w:rFonts w:ascii="Times New Roman" w:eastAsia="Times New Roman" w:hAnsi="Times New Roman" w:cs="Times New Roman"/>
        <w:sz w:val="28"/>
      </w:rPr>
      <w:fldChar w:fldCharType="separate"/>
    </w:r>
    <w:r w:rsidR="008F5A92">
      <w:rPr>
        <w:rFonts w:ascii="Times New Roman" w:eastAsia="Times New Roman" w:hAnsi="Times New Roman" w:cs="Times New Roman"/>
        <w:noProof/>
        <w:sz w:val="28"/>
      </w:rPr>
      <w:t>14</w:t>
    </w:r>
    <w:r>
      <w:rPr>
        <w:rFonts w:ascii="Times New Roman" w:eastAsia="Times New Roman" w:hAnsi="Times New Roman" w:cs="Times New Roman"/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F60" w:rsidRDefault="0092308D">
    <w:pPr>
      <w:spacing w:after="0" w:line="259" w:lineRule="auto"/>
      <w:ind w:left="0" w:right="626" w:firstLine="0"/>
      <w:jc w:val="right"/>
    </w:pPr>
    <w:r>
      <w:rPr>
        <w:rFonts w:ascii="Times New Roman" w:eastAsia="Times New Roman" w:hAnsi="Times New Roman" w:cs="Times New Roman"/>
        <w:sz w:val="28"/>
      </w:rPr>
      <w:fldChar w:fldCharType="begin"/>
    </w:r>
    <w:r>
      <w:rPr>
        <w:rFonts w:ascii="Times New Roman" w:eastAsia="Times New Roman" w:hAnsi="Times New Roman" w:cs="Times New Roman"/>
        <w:sz w:val="28"/>
      </w:rPr>
      <w:instrText xml:space="preserve"> PAGE   \* MERGEFORMAT </w:instrText>
    </w:r>
    <w:r>
      <w:rPr>
        <w:rFonts w:ascii="Times New Roman" w:eastAsia="Times New Roman" w:hAnsi="Times New Roman" w:cs="Times New Roman"/>
        <w:sz w:val="28"/>
      </w:rPr>
      <w:fldChar w:fldCharType="separate"/>
    </w:r>
    <w:r>
      <w:rPr>
        <w:rFonts w:ascii="Times New Roman" w:eastAsia="Times New Roman" w:hAnsi="Times New Roman" w:cs="Times New Roman"/>
        <w:sz w:val="28"/>
      </w:rPr>
      <w:t>1</w:t>
    </w:r>
    <w:r>
      <w:rPr>
        <w:rFonts w:ascii="Times New Roman" w:eastAsia="Times New Roman" w:hAnsi="Times New Roman" w:cs="Times New Roman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D47" w:rsidRDefault="00F71D47">
      <w:pPr>
        <w:spacing w:after="0" w:line="240" w:lineRule="auto"/>
      </w:pPr>
      <w:r>
        <w:separator/>
      </w:r>
    </w:p>
  </w:footnote>
  <w:footnote w:type="continuationSeparator" w:id="0">
    <w:p w:rsidR="00F71D47" w:rsidRDefault="00F71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013A4"/>
    <w:multiLevelType w:val="hybridMultilevel"/>
    <w:tmpl w:val="53D6CE38"/>
    <w:lvl w:ilvl="0" w:tplc="D2128FEA">
      <w:start w:val="1"/>
      <w:numFmt w:val="bullet"/>
      <w:lvlText w:val="*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7B7A78EE">
      <w:start w:val="1"/>
      <w:numFmt w:val="bullet"/>
      <w:lvlText w:val="o"/>
      <w:lvlJc w:val="left"/>
      <w:pPr>
        <w:ind w:left="1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A96298F0">
      <w:start w:val="1"/>
      <w:numFmt w:val="bullet"/>
      <w:lvlText w:val="▪"/>
      <w:lvlJc w:val="left"/>
      <w:pPr>
        <w:ind w:left="2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B0B6A984">
      <w:start w:val="1"/>
      <w:numFmt w:val="bullet"/>
      <w:lvlText w:val="•"/>
      <w:lvlJc w:val="left"/>
      <w:pPr>
        <w:ind w:left="2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B7722AA4">
      <w:start w:val="1"/>
      <w:numFmt w:val="bullet"/>
      <w:lvlText w:val="o"/>
      <w:lvlJc w:val="left"/>
      <w:pPr>
        <w:ind w:left="3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34A63A7A">
      <w:start w:val="1"/>
      <w:numFmt w:val="bullet"/>
      <w:lvlText w:val="▪"/>
      <w:lvlJc w:val="left"/>
      <w:pPr>
        <w:ind w:left="4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EAB8135C">
      <w:start w:val="1"/>
      <w:numFmt w:val="bullet"/>
      <w:lvlText w:val="•"/>
      <w:lvlJc w:val="left"/>
      <w:pPr>
        <w:ind w:left="5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24461236">
      <w:start w:val="1"/>
      <w:numFmt w:val="bullet"/>
      <w:lvlText w:val="o"/>
      <w:lvlJc w:val="left"/>
      <w:pPr>
        <w:ind w:left="5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E4705252">
      <w:start w:val="1"/>
      <w:numFmt w:val="bullet"/>
      <w:lvlText w:val="▪"/>
      <w:lvlJc w:val="left"/>
      <w:pPr>
        <w:ind w:left="6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257270"/>
    <w:multiLevelType w:val="hybridMultilevel"/>
    <w:tmpl w:val="23FE3768"/>
    <w:lvl w:ilvl="0" w:tplc="DB40A61A">
      <w:start w:val="1"/>
      <w:numFmt w:val="bullet"/>
      <w:lvlText w:val="•"/>
      <w:lvlJc w:val="left"/>
      <w:pPr>
        <w:ind w:left="2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D5A22D6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DF50A33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30102D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53B84D7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4D484C0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5358CB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2222C20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382AF91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60"/>
    <w:rsid w:val="000D5B15"/>
    <w:rsid w:val="001A564B"/>
    <w:rsid w:val="001F4F60"/>
    <w:rsid w:val="002745E4"/>
    <w:rsid w:val="00407909"/>
    <w:rsid w:val="004F1E3B"/>
    <w:rsid w:val="0050380C"/>
    <w:rsid w:val="0053159F"/>
    <w:rsid w:val="005A6C2C"/>
    <w:rsid w:val="00717B23"/>
    <w:rsid w:val="008674D6"/>
    <w:rsid w:val="008F5A92"/>
    <w:rsid w:val="0092308D"/>
    <w:rsid w:val="00BA655E"/>
    <w:rsid w:val="00E34760"/>
    <w:rsid w:val="00ED4A2C"/>
    <w:rsid w:val="00F7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CF846C-B7C2-4206-B05B-031B975C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1" w:lineRule="auto"/>
      <w:ind w:left="1690" w:hanging="10"/>
    </w:pPr>
    <w:rPr>
      <w:rFonts w:ascii="Arial" w:eastAsia="Arial" w:hAnsi="Arial" w:cs="Arial"/>
      <w:color w:val="000000"/>
      <w:sz w:val="4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09"/>
      <w:ind w:left="1165"/>
      <w:jc w:val="center"/>
      <w:outlineLvl w:val="0"/>
    </w:pPr>
    <w:rPr>
      <w:rFonts w:ascii="Arial" w:eastAsia="Arial" w:hAnsi="Arial" w:cs="Arial"/>
      <w:color w:val="000000"/>
      <w:sz w:val="8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46" w:line="265" w:lineRule="auto"/>
      <w:ind w:left="1690" w:hanging="10"/>
      <w:outlineLvl w:val="1"/>
    </w:pPr>
    <w:rPr>
      <w:rFonts w:ascii="Arial" w:eastAsia="Arial" w:hAnsi="Arial" w:cs="Arial"/>
      <w:b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48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8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PowerPoint - PIPpredicate.ppt</vt:lpstr>
    </vt:vector>
  </TitlesOfParts>
  <Company>Microsoft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PIPpredicate.ppt</dc:title>
  <dc:subject/>
  <dc:creator>Torben</dc:creator>
  <cp:keywords/>
  <cp:lastModifiedBy>Emad Abdul Karee</cp:lastModifiedBy>
  <cp:revision>5</cp:revision>
  <dcterms:created xsi:type="dcterms:W3CDTF">2020-02-12T17:28:00Z</dcterms:created>
  <dcterms:modified xsi:type="dcterms:W3CDTF">2020-02-17T07:58:00Z</dcterms:modified>
</cp:coreProperties>
</file>