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E4" w:rsidRPr="0059461A" w:rsidRDefault="000349E4" w:rsidP="000349E4">
      <w:pPr>
        <w:ind w:left="-244" w:right="-1170"/>
        <w:jc w:val="lowKashida"/>
        <w:rPr>
          <w:rFonts w:asciiTheme="majorBidi" w:hAnsiTheme="majorBidi" w:cstheme="majorBidi"/>
          <w:b/>
          <w:bCs/>
          <w:sz w:val="34"/>
          <w:szCs w:val="34"/>
        </w:rPr>
      </w:pPr>
      <w:r w:rsidRPr="0059461A">
        <w:rPr>
          <w:rFonts w:asciiTheme="majorBidi" w:hAnsiTheme="majorBidi" w:cstheme="majorBidi"/>
          <w:b/>
          <w:bCs/>
          <w:sz w:val="34"/>
          <w:szCs w:val="34"/>
          <w:rtl/>
        </w:rPr>
        <w:t>الإرشاد باللعب:</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تقوم الأسس النفسية التي يرتكز عليها الإرشاد باللعب على أساس التنفيس الأنفعالى، أو تفريغ الشحنات الأنفعالية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المكبوتة داخل الفرد عن طري</w:t>
      </w:r>
      <w:r>
        <w:rPr>
          <w:rFonts w:asciiTheme="majorBidi" w:hAnsiTheme="majorBidi" w:cstheme="majorBidi"/>
          <w:sz w:val="34"/>
          <w:szCs w:val="34"/>
          <w:rtl/>
        </w:rPr>
        <w:t xml:space="preserve">ق اللعب، حيث يكشف من خلالها عن </w:t>
      </w:r>
      <w:r w:rsidRPr="0059461A">
        <w:rPr>
          <w:rFonts w:asciiTheme="majorBidi" w:hAnsiTheme="majorBidi" w:cstheme="majorBidi"/>
          <w:sz w:val="34"/>
          <w:szCs w:val="34"/>
          <w:rtl/>
        </w:rPr>
        <w:t>إحباطاته وصراعاته، وعلاقته بأفراد أسرته والمحيطين به الذين يمثلهم بالدمى التي يلعب بها، ويترك هذه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المشاعر تطفو إلى السطح وهو يواجه مشاعره هذه بعد ذلك، ويتعلم أن يضبطها أو يتحكم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فيها أو يتخلى عنها، ويختلف اللعب في مراحل النمو المختلفة. ففي مرحلة الطفولة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يلاحظ أن اللعب بسيط وعضلي ثم تدخل عمليات التفكير والذكاء، وفي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الطفولة المبكرة يكون اللعب في جملته فرديا، ثم يتجه إلى المشاركة مع الآخرين،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ويحاول تقليد الكبار ولعب أدوارهم ويستخدم خياله بدرجة كبيرة، ثم يكون الطفل أصدقاء اللعب وتظهر أهمية السلوك الاجتماعي، ويتمايز لعب الذكور عن الأناث. فنجد الذكور</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يهتمون بالفك والتركيب وألعاب العنف والحرب، بينما تهتم الأناث بالألعاب المهارية التي يقمن فيها بدور الأمومة والألعاب المنزلية، وفي مرحلة الطفولة المتأخرة ومرحلة المراهقة تظهر الألعاب الجماعية ثم الهوايات وتبزغ الميول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والاهتمامات</w:t>
      </w:r>
      <w:r w:rsidRPr="0059461A">
        <w:rPr>
          <w:rFonts w:asciiTheme="majorBidi" w:hAnsiTheme="majorBidi" w:cstheme="majorBidi"/>
          <w:sz w:val="34"/>
          <w:szCs w:val="34"/>
        </w:rPr>
        <w:t>.</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أنواع الألعاب وشروطها</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تختلف المواد المستخدمة في اللعب باختلاف سن المسترشد وقدراته العقلية،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والجسمية، والأنفعالية، وينبغي أن تتوافر في هذه الألعاب مجموعة من الشروط لتحقيق الفائدة المرجوة منها. ومن المواد المستخدمة 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الألعاب ما يلي</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rPr>
        <w:t>1. بيت اللعب</w:t>
      </w:r>
      <w:r w:rsidRPr="0059461A">
        <w:rPr>
          <w:rFonts w:asciiTheme="majorBidi" w:hAnsiTheme="majorBidi" w:cstheme="majorBidi"/>
          <w:sz w:val="34"/>
          <w:szCs w:val="34"/>
          <w:rtl/>
          <w:lang w:bidi="ar-EG"/>
        </w:rPr>
        <w:t>:</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ويتضمن عرائس مطاطية تمثل الرجال والنساء والأطفال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التي تعبر عن أفراد الأسرة والأشخاص المحيطين</w:t>
      </w:r>
      <w:r w:rsidRPr="0059461A">
        <w:rPr>
          <w:rFonts w:asciiTheme="majorBidi" w:hAnsiTheme="majorBidi" w:cstheme="majorBidi"/>
          <w:sz w:val="34"/>
          <w:szCs w:val="34"/>
          <w:rtl/>
          <w:lang w:bidi="ar-EG"/>
        </w:rPr>
        <w:t>.</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2.ألعاب العنف: مثل المسدسات، والبنادق،</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والدبابات، والطائرات، والغواصات، والبوارج الحربية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وغيرها</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3.آلات موسيقية: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مثل الطبلة، والمزمار، والبي</w:t>
      </w:r>
      <w:r w:rsidRPr="0059461A">
        <w:rPr>
          <w:rFonts w:asciiTheme="majorBidi" w:hAnsiTheme="majorBidi" w:cstheme="majorBidi"/>
          <w:sz w:val="34"/>
          <w:szCs w:val="34"/>
          <w:rtl/>
          <w:lang w:bidi="ar-EG"/>
        </w:rPr>
        <w:t>ا</w:t>
      </w:r>
      <w:r w:rsidRPr="0059461A">
        <w:rPr>
          <w:rFonts w:asciiTheme="majorBidi" w:hAnsiTheme="majorBidi" w:cstheme="majorBidi"/>
          <w:sz w:val="34"/>
          <w:szCs w:val="34"/>
          <w:rtl/>
        </w:rPr>
        <w:t>نو، والجيتار، والأورج،</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والرق، .. وغيرها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4.الأدوات الفنية: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مثل الألوأن (المائية، والشمعية، والخشبية..) وكراسات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الرسم، والصلصال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وغيرها</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5.الأدوات الرياضية: مثل الكرة بأنواعها، والمضارب، وقفازات الملاكمة، وملابس السباحة .. وغيرها</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6.أدوات المهن المختلفة: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كأدوات الطبيب، والنجار،</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والمهندس، والجزار، والميكأنيكي .. وغيرها</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7.ألعاب وسائل المواصلات</w:t>
      </w:r>
      <w:r w:rsidRPr="0059461A">
        <w:rPr>
          <w:rFonts w:asciiTheme="majorBidi" w:hAnsiTheme="majorBidi" w:cstheme="majorBidi"/>
          <w:sz w:val="34"/>
          <w:szCs w:val="34"/>
        </w:rPr>
        <w:t xml:space="preserve"> : </w:t>
      </w:r>
      <w:r w:rsidRPr="0059461A">
        <w:rPr>
          <w:rFonts w:asciiTheme="majorBidi" w:hAnsiTheme="majorBidi" w:cstheme="majorBidi"/>
          <w:sz w:val="34"/>
          <w:szCs w:val="34"/>
          <w:rtl/>
        </w:rPr>
        <w:t>مثل السيارات، والطائرات،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والسفن، والمناطيد .. وغيرها</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lang w:bidi="ar-EG"/>
        </w:rPr>
        <w:t>8.</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ألعاب متنوعة</w:t>
      </w:r>
      <w:r w:rsidRPr="0059461A">
        <w:rPr>
          <w:rFonts w:asciiTheme="majorBidi" w:hAnsiTheme="majorBidi" w:cstheme="majorBidi"/>
          <w:sz w:val="34"/>
          <w:szCs w:val="34"/>
        </w:rPr>
        <w:t xml:space="preserve"> : </w:t>
      </w:r>
      <w:r w:rsidRPr="0059461A">
        <w:rPr>
          <w:rFonts w:asciiTheme="majorBidi" w:hAnsiTheme="majorBidi" w:cstheme="majorBidi"/>
          <w:sz w:val="34"/>
          <w:szCs w:val="34"/>
          <w:rtl/>
        </w:rPr>
        <w:t>مثل دمى الحيوانات،واناء الرمل والماء، والجواريف،</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والحبال .. وغيرها</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Pr>
        <w:br/>
      </w:r>
      <w:r w:rsidRPr="0059461A">
        <w:rPr>
          <w:rFonts w:asciiTheme="majorBidi" w:hAnsiTheme="majorBidi" w:cstheme="majorBidi" w:hint="cs"/>
          <w:sz w:val="34"/>
          <w:szCs w:val="34"/>
          <w:rtl/>
        </w:rPr>
        <w:t>انواع اللعب</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الحر</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ب.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الإيهامي</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ج.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التكويني</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Pr>
      </w:pPr>
      <w:r w:rsidRPr="0059461A">
        <w:rPr>
          <w:rFonts w:asciiTheme="majorBidi" w:hAnsiTheme="majorBidi" w:cstheme="majorBidi" w:hint="cs"/>
          <w:sz w:val="34"/>
          <w:szCs w:val="34"/>
          <w:rtl/>
        </w:rPr>
        <w:t>د</w:t>
      </w:r>
      <w:r w:rsidRPr="0059461A">
        <w:rPr>
          <w:rFonts w:asciiTheme="majorBidi" w:hAnsiTheme="majorBidi" w:cstheme="majorBidi"/>
          <w:sz w:val="34"/>
          <w:szCs w:val="34"/>
          <w:rtl/>
        </w:rPr>
        <w:t>.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الكلامي:</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hint="cs"/>
          <w:sz w:val="34"/>
          <w:szCs w:val="34"/>
          <w:rtl/>
        </w:rPr>
        <w:t>ذ</w:t>
      </w:r>
      <w:r w:rsidRPr="0059461A">
        <w:rPr>
          <w:rFonts w:asciiTheme="majorBidi" w:hAnsiTheme="majorBidi" w:cstheme="majorBidi"/>
          <w:sz w:val="34"/>
          <w:szCs w:val="34"/>
          <w:rtl/>
        </w:rPr>
        <w:t>. اللعب</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الحركي</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hint="cs"/>
          <w:sz w:val="34"/>
          <w:szCs w:val="34"/>
          <w:rtl/>
        </w:rPr>
        <w:lastRenderedPageBreak/>
        <w:t>ر</w:t>
      </w:r>
      <w:r w:rsidRPr="0059461A">
        <w:rPr>
          <w:rFonts w:asciiTheme="majorBidi" w:hAnsiTheme="majorBidi" w:cstheme="majorBidi"/>
          <w:sz w:val="34"/>
          <w:szCs w:val="34"/>
          <w:rtl/>
        </w:rPr>
        <w:t xml:space="preserve"> .اللعب الحسي</w:t>
      </w:r>
      <w:r w:rsidRPr="0059461A">
        <w:rPr>
          <w:rFonts w:asciiTheme="majorBidi" w:hAnsiTheme="majorBidi" w:cstheme="majorBidi"/>
          <w:sz w:val="34"/>
          <w:szCs w:val="34"/>
        </w:rPr>
        <w:t xml:space="preserve"> :</w:t>
      </w:r>
    </w:p>
    <w:p w:rsidR="000349E4" w:rsidRPr="0059461A" w:rsidRDefault="000349E4" w:rsidP="000349E4">
      <w:pPr>
        <w:ind w:left="-244" w:right="-1170"/>
        <w:jc w:val="lowKashida"/>
        <w:rPr>
          <w:rFonts w:asciiTheme="majorBidi" w:hAnsiTheme="majorBidi" w:cstheme="majorBidi"/>
          <w:b/>
          <w:bCs/>
          <w:sz w:val="34"/>
          <w:szCs w:val="34"/>
          <w:rtl/>
        </w:rPr>
      </w:pPr>
      <w:r w:rsidRPr="0059461A">
        <w:rPr>
          <w:rFonts w:asciiTheme="majorBidi" w:hAnsiTheme="majorBidi" w:cstheme="majorBidi" w:hint="cs"/>
          <w:sz w:val="34"/>
          <w:szCs w:val="34"/>
          <w:rtl/>
        </w:rPr>
        <w:t>6.</w:t>
      </w:r>
      <w:r w:rsidRPr="0059461A">
        <w:rPr>
          <w:rFonts w:asciiTheme="majorBidi" w:hAnsiTheme="majorBidi" w:cstheme="majorBidi"/>
          <w:b/>
          <w:bCs/>
          <w:sz w:val="34"/>
          <w:szCs w:val="34"/>
          <w:rtl/>
        </w:rPr>
        <w:t>الإرشاد السلوكي:</w:t>
      </w:r>
      <w:r w:rsidRPr="0059461A">
        <w:rPr>
          <w:rFonts w:asciiTheme="majorBidi" w:hAnsiTheme="majorBidi" w:cstheme="majorBidi"/>
          <w:sz w:val="34"/>
          <w:szCs w:val="34"/>
          <w:rtl/>
        </w:rPr>
        <w:t>يع</w:t>
      </w:r>
      <w:r w:rsidRPr="0059461A">
        <w:rPr>
          <w:rFonts w:asciiTheme="majorBidi" w:hAnsiTheme="majorBidi" w:cstheme="majorBidi" w:hint="cs"/>
          <w:sz w:val="34"/>
          <w:szCs w:val="34"/>
          <w:rtl/>
        </w:rPr>
        <w:t>د</w:t>
      </w:r>
      <w:r w:rsidRPr="0059461A">
        <w:rPr>
          <w:rFonts w:asciiTheme="majorBidi" w:hAnsiTheme="majorBidi" w:cstheme="majorBidi"/>
          <w:sz w:val="34"/>
          <w:szCs w:val="34"/>
          <w:rtl/>
        </w:rPr>
        <w:t xml:space="preserve"> الإرشاد السلوكي تطبيقاً عملياً لقواعد ومباديء وقوانين التعلم والنظرية السلوكية وعلم النفس التجريبي بصفة عامة في ميدأن الإرشاد النفسي وبصفة خاصة في محأولة حل المشكلات السلوكية بأسرع مايمكن وذلك بضبط وتعديل السلوك المضطرب المتمثل في الأعراض</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أسس الإرشاد السلوكي</w:t>
      </w:r>
      <w:r w:rsidRPr="0059461A">
        <w:rPr>
          <w:rFonts w:asciiTheme="majorBidi" w:hAnsiTheme="majorBidi" w:cstheme="majorBidi"/>
          <w:sz w:val="34"/>
          <w:szCs w:val="34"/>
          <w:rtl/>
        </w:rPr>
        <w:t>:</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يقوم الإرشاد السلوكي على أسس نظريات التعلم بصفة عامة والتعلم الشرطي بصفة خاصة، ويطلق على الإرشاد السلوكي أحيأناً " إرشاد التعلم " أو " علاج التعلم " .</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خصائص الإرشاد السلوكي:</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1. معظم سلوك الإنسان متعلم ومكتسب.</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2. لا يختلف السلوك المضطرب المتعلم من حيث المبدأ عن السلوك العادي المتعلم.</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3. يتعلم الفرد السلوك المضطرب نتيجة لتعرضه المتكرر للخبرات التي تؤدي إلىه.</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4. تعتبر زملة الأعراض النفسية تجمعاً لعادات سلوكية خاطئة متعلمة.</w:t>
      </w:r>
    </w:p>
    <w:p w:rsidR="000349E4" w:rsidRPr="0059461A" w:rsidRDefault="000349E4" w:rsidP="000349E4">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5. يمكن تعديل السلوك المتعلم. </w:t>
      </w:r>
    </w:p>
    <w:p w:rsidR="000349E4" w:rsidRDefault="000349E4" w:rsidP="000349E4">
      <w:pPr>
        <w:ind w:left="-244" w:right="-1170"/>
        <w:jc w:val="lowKashida"/>
        <w:rPr>
          <w:rFonts w:asciiTheme="majorBidi" w:hAnsiTheme="majorBidi" w:cstheme="majorBidi"/>
          <w:sz w:val="34"/>
          <w:szCs w:val="34"/>
          <w:rtl/>
        </w:rPr>
      </w:pPr>
    </w:p>
    <w:p w:rsidR="000349E4" w:rsidRDefault="000349E4" w:rsidP="000349E4">
      <w:pPr>
        <w:ind w:left="-244" w:right="-1170"/>
        <w:jc w:val="lowKashida"/>
        <w:rPr>
          <w:rFonts w:asciiTheme="majorBidi" w:hAnsiTheme="majorBidi" w:cstheme="majorBidi"/>
          <w:sz w:val="34"/>
          <w:szCs w:val="34"/>
          <w:rtl/>
        </w:rPr>
      </w:pPr>
    </w:p>
    <w:p w:rsidR="000349E4" w:rsidRDefault="000349E4" w:rsidP="000349E4">
      <w:pPr>
        <w:ind w:left="-244" w:right="-1170"/>
        <w:jc w:val="lowKashida"/>
        <w:rPr>
          <w:rFonts w:asciiTheme="majorBidi" w:hAnsiTheme="majorBidi" w:cstheme="majorBidi"/>
          <w:sz w:val="34"/>
          <w:szCs w:val="34"/>
          <w:rtl/>
        </w:rPr>
      </w:pPr>
    </w:p>
    <w:p w:rsidR="000349E4" w:rsidRDefault="000349E4" w:rsidP="000349E4">
      <w:pPr>
        <w:ind w:left="-244" w:right="-1170"/>
        <w:jc w:val="lowKashida"/>
        <w:rPr>
          <w:rFonts w:asciiTheme="majorBidi" w:hAnsiTheme="majorBidi" w:cstheme="majorBidi"/>
          <w:sz w:val="34"/>
          <w:szCs w:val="34"/>
          <w:rtl/>
        </w:rPr>
      </w:pPr>
    </w:p>
    <w:p w:rsidR="000349E4" w:rsidRPr="0059461A" w:rsidRDefault="000349E4" w:rsidP="000349E4">
      <w:pPr>
        <w:ind w:left="-244" w:right="-1170"/>
        <w:jc w:val="lowKashida"/>
        <w:rPr>
          <w:rFonts w:asciiTheme="majorBidi" w:hAnsiTheme="majorBidi" w:cstheme="majorBidi"/>
          <w:sz w:val="34"/>
          <w:szCs w:val="34"/>
          <w:rtl/>
        </w:rPr>
      </w:pP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0349E4"/>
    <w:rsid w:val="000349E4"/>
    <w:rsid w:val="00345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E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2375</Characters>
  <Application>Microsoft Office Word</Application>
  <DocSecurity>0</DocSecurity>
  <Lines>19</Lines>
  <Paragraphs>5</Paragraphs>
  <ScaleCrop>false</ScaleCrop>
  <Company>By DR.Ahmed Saker 2o1O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2019-01-02T08:33:00Z</dcterms:created>
  <dcterms:modified xsi:type="dcterms:W3CDTF">2019-01-02T08:34:00Z</dcterms:modified>
</cp:coreProperties>
</file>