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5" w:rsidRDefault="009210C5" w:rsidP="009210C5">
      <w:pPr>
        <w:spacing w:line="360" w:lineRule="auto"/>
        <w:jc w:val="both"/>
        <w:rPr>
          <w:sz w:val="36"/>
          <w:szCs w:val="36"/>
          <w:lang w:bidi="ar-IQ"/>
        </w:rPr>
      </w:pPr>
      <w:r>
        <w:rPr>
          <w:rFonts w:cs="Arial"/>
          <w:sz w:val="36"/>
          <w:szCs w:val="36"/>
          <w:rtl/>
          <w:lang w:bidi="ar-IQ"/>
        </w:rPr>
        <w:t>إضافة اسم الفاعل إلى مفعوله: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يجوزُ إضافةُ اسم الفاعل إلى مفعوله ونصبه ، نحو: ((هذا ضاربُ زيدٍ وضاربٌ زيدًا)) ، فإذا كان له مفعولان أضيفَ إلى أحدِهما ، ونُصبَ الآخر ، نحو: ((هذا معطي زيدٍ كتابًا)) ، قال تعالى: ((الحمدُ للهِ فاطرِ السمواتِ والأرضِ وجاعلِ الملائكةِ رسلًا)) ، ((قالَ إنّي جاعلُك للناسِ إماما)).</w:t>
      </w:r>
    </w:p>
    <w:p w:rsidR="009210C5" w:rsidRDefault="009210C5" w:rsidP="009210C5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حكم تابع معمول اسم الفاعل المجرور بالإضافة: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يجوز في تابع معمول اسم الفاعل المجرور بالإضافة الجرّ مراعاةً للفظ ، والنصب مراعاة للمحلّ ، وعند بعضِهم هو منصوب بفعل مقدّر ، نحو: ((هذا ضاربُ زيدٍ وعمرٍو)) ، فيجوز في (عمرو) الجرّ مراعاة للفظِ (زيد) ، والنصب مراعاة لمحلّ (زيد) ، أو هو منصوب بفعل مقدّر ، تقديرُه (يضرب).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الشاهد: 264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  الواهبُ </w:t>
      </w:r>
      <w:proofErr w:type="spellStart"/>
      <w:r>
        <w:rPr>
          <w:rFonts w:cs="Arial"/>
          <w:sz w:val="36"/>
          <w:szCs w:val="36"/>
          <w:rtl/>
          <w:lang w:bidi="ar-IQ"/>
        </w:rPr>
        <w:t>المئةِ</w:t>
      </w:r>
      <w:proofErr w:type="spellEnd"/>
      <w:r>
        <w:rPr>
          <w:rFonts w:cs="Arial"/>
          <w:sz w:val="36"/>
          <w:szCs w:val="36"/>
          <w:rtl/>
          <w:lang w:bidi="ar-IQ"/>
        </w:rPr>
        <w:t xml:space="preserve"> الهجانِ وعبدِها       عوذًا تُزجّي بينها أطفالُها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رُوي بنصب (عبد) وجرّه</w:t>
      </w:r>
    </w:p>
    <w:p w:rsidR="009210C5" w:rsidRDefault="009210C5" w:rsidP="009210C5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الشاهد: 265</w:t>
      </w:r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  هل أنتَ باعثُ دينارٍ لحاجتِنا      أو عبدَ ربٍّ أخا عونِ بنِ </w:t>
      </w:r>
      <w:proofErr w:type="spellStart"/>
      <w:r>
        <w:rPr>
          <w:rFonts w:cs="Arial"/>
          <w:sz w:val="36"/>
          <w:szCs w:val="36"/>
          <w:rtl/>
          <w:lang w:bidi="ar-IQ"/>
        </w:rPr>
        <w:t>محراقِ</w:t>
      </w:r>
      <w:proofErr w:type="spellEnd"/>
    </w:p>
    <w:p w:rsidR="009210C5" w:rsidRDefault="009210C5" w:rsidP="009210C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رُويَ بجرّ (عبد) ونصبه.</w:t>
      </w:r>
    </w:p>
    <w:p w:rsidR="00682213" w:rsidRDefault="00682213"/>
    <w:sectPr w:rsidR="00682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210C5"/>
    <w:rsid w:val="00682213"/>
    <w:rsid w:val="0092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2</cp:revision>
  <dcterms:created xsi:type="dcterms:W3CDTF">2018-12-16T10:35:00Z</dcterms:created>
  <dcterms:modified xsi:type="dcterms:W3CDTF">2018-12-16T10:35:00Z</dcterms:modified>
</cp:coreProperties>
</file>