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46" w:rsidRPr="00CC0446" w:rsidRDefault="00CC0446" w:rsidP="00CC0446">
      <w:pPr>
        <w:spacing w:after="0"/>
        <w:jc w:val="center"/>
        <w:rPr>
          <w:rFonts w:hint="cs"/>
          <w:b/>
          <w:bCs/>
          <w:sz w:val="36"/>
          <w:szCs w:val="36"/>
          <w:u w:val="single"/>
          <w:rtl/>
          <w:lang w:bidi="ar-IQ"/>
        </w:rPr>
      </w:pPr>
      <w:bookmarkStart w:id="0" w:name="_GoBack"/>
      <w:r w:rsidRPr="00CC0446">
        <w:rPr>
          <w:rFonts w:hint="cs"/>
          <w:b/>
          <w:bCs/>
          <w:sz w:val="36"/>
          <w:szCs w:val="36"/>
          <w:u w:val="single"/>
          <w:rtl/>
          <w:lang w:bidi="ar-IQ"/>
        </w:rPr>
        <w:t xml:space="preserve">السياق المرجعي </w:t>
      </w:r>
      <w:r w:rsidRPr="00CC0446">
        <w:rPr>
          <w:b/>
          <w:bCs/>
          <w:sz w:val="36"/>
          <w:szCs w:val="36"/>
          <w:u w:val="single"/>
          <w:rtl/>
          <w:lang w:bidi="ar-IQ"/>
        </w:rPr>
        <w:t>–</w:t>
      </w:r>
      <w:r w:rsidRPr="00CC0446">
        <w:rPr>
          <w:rFonts w:hint="cs"/>
          <w:b/>
          <w:bCs/>
          <w:sz w:val="36"/>
          <w:szCs w:val="36"/>
          <w:u w:val="single"/>
          <w:rtl/>
          <w:lang w:bidi="ar-IQ"/>
        </w:rPr>
        <w:t xml:space="preserve"> التخييلي</w:t>
      </w:r>
    </w:p>
    <w:bookmarkEnd w:id="0"/>
    <w:p w:rsidR="00CC0446" w:rsidRDefault="00CC0446" w:rsidP="00CC0446">
      <w:pPr>
        <w:spacing w:after="0"/>
        <w:rPr>
          <w:rFonts w:hint="cs"/>
          <w:sz w:val="28"/>
          <w:szCs w:val="28"/>
          <w:rtl/>
          <w:lang w:bidi="ar-IQ"/>
        </w:rPr>
      </w:pPr>
    </w:p>
    <w:p w:rsidR="00CC0446" w:rsidRDefault="00CC0446" w:rsidP="00CC0446">
      <w:pPr>
        <w:spacing w:after="0"/>
        <w:rPr>
          <w:sz w:val="28"/>
          <w:szCs w:val="28"/>
          <w:rtl/>
          <w:lang w:bidi="ar-IQ"/>
        </w:rPr>
      </w:pPr>
      <w:r>
        <w:rPr>
          <w:rFonts w:hint="cs"/>
          <w:sz w:val="28"/>
          <w:szCs w:val="28"/>
          <w:rtl/>
          <w:lang w:bidi="ar-IQ"/>
        </w:rPr>
        <w:t xml:space="preserve">   تورد الرواية اسم ( دائرة المتابعة والتعقيب) وهذهِ الدائرة هي دائرة وهمية من حيث الاسم، ولكنها واقعية من حيث الفعل فهي تعبير عن عمل الحكومة أو عمل المخابرات والأمن المرتبطين بالإدارة المدنية لقوات الأئتلاف الدولي في العراق بعد 2003 . </w:t>
      </w:r>
    </w:p>
    <w:p w:rsidR="00CC0446" w:rsidRPr="001114ED" w:rsidRDefault="00CC0446" w:rsidP="00CC0446">
      <w:pPr>
        <w:spacing w:after="0"/>
        <w:rPr>
          <w:sz w:val="16"/>
          <w:szCs w:val="16"/>
          <w:rtl/>
          <w:lang w:bidi="ar-IQ"/>
        </w:rPr>
      </w:pPr>
    </w:p>
    <w:p w:rsidR="00CC0446" w:rsidRDefault="00CC0446" w:rsidP="00CC0446">
      <w:pPr>
        <w:spacing w:after="0"/>
        <w:rPr>
          <w:sz w:val="28"/>
          <w:szCs w:val="28"/>
          <w:rtl/>
          <w:lang w:bidi="ar-IQ"/>
        </w:rPr>
      </w:pPr>
      <w:r>
        <w:rPr>
          <w:rFonts w:hint="cs"/>
          <w:sz w:val="28"/>
          <w:szCs w:val="28"/>
          <w:rtl/>
          <w:lang w:bidi="ar-IQ"/>
        </w:rPr>
        <w:t xml:space="preserve">   وأعطت الرواية عنوانين، عنوان رئيسي هو (تقرير نهائي) والآخر جانبي هو (سري للغاية) ولإضفاء الصيغة الواقعية على دائرة المتابعة والتعقيب فقد أوردت الرواية زمناً هو 25 أيلول 2005 تحديداً ،وهو يعادل زمن الرواية ،أو زمن أحداثها ففي هذا الزمن تشكلت لجنة التحقيق الخاصة برئاسة مجهوله  الاسم  ( برئاستنا ) لمتابعة عمل دائرة التحقيق التي كانت تعود في تأريخها إلى زمن تشكيل سلطة الائتلاف المدني في العراق في نيسان 2003 .</w:t>
      </w:r>
    </w:p>
    <w:p w:rsidR="00CC0446" w:rsidRPr="001114ED" w:rsidRDefault="00CC0446" w:rsidP="00CC0446">
      <w:pPr>
        <w:spacing w:after="0"/>
        <w:rPr>
          <w:sz w:val="16"/>
          <w:szCs w:val="16"/>
          <w:rtl/>
          <w:lang w:bidi="ar-IQ"/>
        </w:rPr>
      </w:pPr>
    </w:p>
    <w:p w:rsidR="00CC0446" w:rsidRDefault="00CC0446" w:rsidP="00CC0446">
      <w:pPr>
        <w:spacing w:after="0"/>
        <w:rPr>
          <w:sz w:val="28"/>
          <w:szCs w:val="28"/>
          <w:rtl/>
          <w:lang w:bidi="ar-IQ"/>
        </w:rPr>
      </w:pPr>
      <w:r>
        <w:rPr>
          <w:rFonts w:hint="cs"/>
          <w:sz w:val="28"/>
          <w:szCs w:val="28"/>
          <w:rtl/>
          <w:lang w:bidi="ar-IQ"/>
        </w:rPr>
        <w:t xml:space="preserve">   وهذا إقرار بأن هذهِ اللجنة هي المسؤول المباشر عن الأعمال الأمنية والمخابراتية في العراق بعد حل مؤسسات النظام الأمنية والاستخباراتية في النظام السابق .</w:t>
      </w:r>
    </w:p>
    <w:p w:rsidR="00CC0446" w:rsidRPr="001114ED" w:rsidRDefault="00CC0446" w:rsidP="00CC0446">
      <w:pPr>
        <w:spacing w:after="0"/>
        <w:rPr>
          <w:sz w:val="16"/>
          <w:szCs w:val="16"/>
          <w:rtl/>
          <w:lang w:bidi="ar-IQ"/>
        </w:rPr>
      </w:pPr>
    </w:p>
    <w:p w:rsidR="00CC0446" w:rsidRDefault="00CC0446" w:rsidP="00CC0446">
      <w:pPr>
        <w:spacing w:after="0"/>
        <w:rPr>
          <w:sz w:val="28"/>
          <w:szCs w:val="28"/>
          <w:rtl/>
          <w:lang w:bidi="ar-IQ"/>
        </w:rPr>
      </w:pPr>
      <w:r>
        <w:rPr>
          <w:rFonts w:hint="cs"/>
          <w:sz w:val="28"/>
          <w:szCs w:val="28"/>
          <w:rtl/>
          <w:lang w:bidi="ar-IQ"/>
        </w:rPr>
        <w:t xml:space="preserve">  وأطلقت الرواية اسماً على رئيسها هو العميد ( سرور محمد مجيد ) أما مساعدوه فهم مجموعة من المنجمين وقارئي الطالع يكون عملهم الذي يتقاضون عليه رواتب مرتفعة من الخزينة العراقية ( وليس من الجانب الأمريكي ) هو وضع توقعات للحوادث الأمنية الخطرة التي تحدث في بغداد ومناطق أخرى . وتعمد الرواية إلى كتابة التقرير على نحو يقترب فعلياً من نمط كتابة التقارير من حيث التبويب: القسم الأول وينقسم إلى أ . ب . ج. د ، ثم  القسم الثاني وفيه التوصيات وفي هذهِ المحاكاة الواقعية رغبة في إدخال هذهِ الوثيقة الميتاسردية داخل متن الرواية على أنها خلفية واقعية .</w:t>
      </w:r>
    </w:p>
    <w:p w:rsidR="00CC0446" w:rsidRPr="001114ED" w:rsidRDefault="00CC0446" w:rsidP="00CC0446">
      <w:pPr>
        <w:spacing w:after="0"/>
        <w:rPr>
          <w:sz w:val="16"/>
          <w:szCs w:val="16"/>
          <w:rtl/>
          <w:lang w:bidi="ar-IQ"/>
        </w:rPr>
      </w:pPr>
    </w:p>
    <w:p w:rsidR="00CC0446" w:rsidRDefault="00CC0446" w:rsidP="00CC0446">
      <w:pPr>
        <w:spacing w:after="0"/>
        <w:rPr>
          <w:sz w:val="28"/>
          <w:szCs w:val="28"/>
          <w:rtl/>
          <w:lang w:bidi="ar-IQ"/>
        </w:rPr>
      </w:pPr>
      <w:r>
        <w:rPr>
          <w:rFonts w:hint="cs"/>
          <w:sz w:val="28"/>
          <w:szCs w:val="28"/>
          <w:rtl/>
          <w:lang w:bidi="ar-IQ"/>
        </w:rPr>
        <w:t xml:space="preserve">    أما ما تم التركيز عليه من شخصيات ما خلا شخصية العميد سرور فهو ( المؤلف ) الذي لم يتم الكشف عن اسمه بل تكون الإشارة اليه (آلية الكترونية ) عبر رسائل تشير إلى وجوده ثم منح اللجنة فاعلية ( وهمية ) في القبض عليه والتوصل إلى مكان إقامته في فندق الفنار في شارع أبي نؤاس ، وهذهِ أول إشارة مكانية واقعية ترد في هذهِ الوثيقة ( التقرير ) . </w:t>
      </w:r>
    </w:p>
    <w:p w:rsidR="00CC0446" w:rsidRPr="001114ED" w:rsidRDefault="00CC0446" w:rsidP="00CC0446">
      <w:pPr>
        <w:spacing w:after="0"/>
        <w:rPr>
          <w:sz w:val="16"/>
          <w:szCs w:val="16"/>
          <w:rtl/>
          <w:lang w:bidi="ar-IQ"/>
        </w:rPr>
      </w:pPr>
    </w:p>
    <w:p w:rsidR="00CC0446" w:rsidRDefault="00CC0446" w:rsidP="00CC0446">
      <w:pPr>
        <w:spacing w:after="0"/>
        <w:rPr>
          <w:sz w:val="28"/>
          <w:szCs w:val="28"/>
          <w:rtl/>
          <w:lang w:bidi="ar-IQ"/>
        </w:rPr>
      </w:pPr>
      <w:r>
        <w:rPr>
          <w:rFonts w:hint="cs"/>
          <w:sz w:val="28"/>
          <w:szCs w:val="28"/>
          <w:rtl/>
          <w:lang w:bidi="ar-IQ"/>
        </w:rPr>
        <w:t xml:space="preserve">   ومن العلامات الميتاسردية الواضحة ما ورد في الفقرة / د من العثور مع المؤلف على نص لقصة كتبها بالاستفادة من المعلومات المتضمنة في وثائق المتابعة والتعقيب وهي بحدود المئتي صفحة مقسمة إلى سبعة عشر فصلاً ، وهي الإشارة ذاتها التي دارت في الفصل الثامن عشر (كنت أكتب مع شيء من القلق والخشية أن يفتح باب غرفتي في فندق الفنار فجأة ليتم اعتقالي وهذا ما حدث في النهاية كانت نسخة من الرواية بسبعة عشر فصلاً في يدي حين تم اعتقالي ) ص 338 . </w:t>
      </w:r>
    </w:p>
    <w:p w:rsidR="00CC0446" w:rsidRPr="001114ED" w:rsidRDefault="00CC0446" w:rsidP="00CC0446">
      <w:pPr>
        <w:spacing w:after="0"/>
        <w:rPr>
          <w:sz w:val="16"/>
          <w:szCs w:val="16"/>
          <w:rtl/>
          <w:lang w:bidi="ar-IQ"/>
        </w:rPr>
      </w:pPr>
    </w:p>
    <w:p w:rsidR="00CC0446" w:rsidRDefault="00CC0446" w:rsidP="00CC0446">
      <w:pPr>
        <w:spacing w:after="0"/>
        <w:rPr>
          <w:sz w:val="28"/>
          <w:szCs w:val="28"/>
          <w:rtl/>
          <w:lang w:bidi="ar-IQ"/>
        </w:rPr>
      </w:pPr>
      <w:r>
        <w:rPr>
          <w:rFonts w:hint="cs"/>
          <w:sz w:val="28"/>
          <w:szCs w:val="28"/>
          <w:rtl/>
          <w:lang w:bidi="ar-IQ"/>
        </w:rPr>
        <w:t xml:space="preserve">  وتبدو البنية الميتاسردية في ( فرانكشتاين في بغداد ) بنية إطارية إذ إنَّ القصة الكبرى فيها هي قصة ( الشسمة ) التي تتفرع منها القصص الصغرى التي تنسج حول الشخصيات الواردة في الرواية ، ولعل ورود وصف ( المؤلف ) هو إشارة صريحة إلى المبنى الميتاسردي الذي يستحضر شخصية المؤلف والسياقات </w:t>
      </w:r>
      <w:r>
        <w:rPr>
          <w:rFonts w:hint="cs"/>
          <w:sz w:val="28"/>
          <w:szCs w:val="28"/>
          <w:rtl/>
          <w:lang w:bidi="ar-IQ"/>
        </w:rPr>
        <w:lastRenderedPageBreak/>
        <w:t>به .. وكسر حاجز التخييل الروائي وإشراك القارئ في نسج مفاصل العمل السردي  ،لتجميد عملها لاغراض التحقيق</w:t>
      </w:r>
    </w:p>
    <w:p w:rsidR="00CC0446" w:rsidRPr="001114ED" w:rsidRDefault="00CC0446" w:rsidP="00CC0446">
      <w:pPr>
        <w:spacing w:after="0"/>
        <w:rPr>
          <w:sz w:val="16"/>
          <w:szCs w:val="16"/>
          <w:rtl/>
          <w:lang w:bidi="ar-IQ"/>
        </w:rPr>
      </w:pPr>
    </w:p>
    <w:p w:rsidR="00CC0446" w:rsidRDefault="00CC0446" w:rsidP="00CC0446">
      <w:pPr>
        <w:spacing w:after="0"/>
        <w:rPr>
          <w:sz w:val="28"/>
          <w:szCs w:val="28"/>
          <w:rtl/>
          <w:lang w:bidi="ar-IQ"/>
        </w:rPr>
      </w:pPr>
      <w:r>
        <w:rPr>
          <w:rFonts w:hint="cs"/>
          <w:sz w:val="28"/>
          <w:szCs w:val="28"/>
          <w:rtl/>
          <w:lang w:bidi="ar-IQ"/>
        </w:rPr>
        <w:t xml:space="preserve">   ولو وقفنا عند الإشارات السيميائية الموطئة لأحداث الرواية أو لثيمتها الرئيسية لوجدنا عدداً لا بأس به منها ولا نبالغ إذ نقول إنَّ ثمة تكثيفاً علاماتياً لتلكَ الثيمة الدائرة حول بغداد بعد 2003 فقداوردت الرواية في هذا المفتتح زمن ( الشسمة ) تحديداً الذي جرى إعتقاله (الوهمي ) من قبل دائرة المتابعة والتعقيب التي يجري سرد وقائقها فيما بعد أيضاً فالإشارة الزمنية الواضحة هي تأسيس سلطة ائتلاف المدني 2003 وهذهِ العلامة الأولى . </w:t>
      </w:r>
    </w:p>
    <w:p w:rsidR="00566161" w:rsidRPr="00CC0446" w:rsidRDefault="00566161" w:rsidP="00CC0446">
      <w:pPr>
        <w:rPr>
          <w:lang w:bidi="ar-IQ"/>
        </w:rPr>
      </w:pPr>
    </w:p>
    <w:sectPr w:rsidR="00566161" w:rsidRPr="00CC0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46"/>
    <w:rsid w:val="00566161"/>
    <w:rsid w:val="00CC0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2018-12-14T15:29:00Z</dcterms:created>
  <dcterms:modified xsi:type="dcterms:W3CDTF">2018-12-14T15:31:00Z</dcterms:modified>
</cp:coreProperties>
</file>