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32" w:rsidRPr="003829FC" w:rsidRDefault="003829FC" w:rsidP="003829FC">
      <w:pPr>
        <w:jc w:val="center"/>
        <w:rPr>
          <w:rFonts w:hint="cs"/>
          <w:b/>
          <w:bCs/>
          <w:sz w:val="40"/>
          <w:szCs w:val="40"/>
          <w:rtl/>
          <w:lang w:bidi="ar-IQ"/>
        </w:rPr>
      </w:pPr>
      <w:r w:rsidRPr="003829FC">
        <w:rPr>
          <w:rFonts w:hint="cs"/>
          <w:b/>
          <w:bCs/>
          <w:sz w:val="40"/>
          <w:szCs w:val="40"/>
          <w:rtl/>
          <w:lang w:bidi="ar-IQ"/>
        </w:rPr>
        <w:t>ثنائية الرؤية والمنهج</w:t>
      </w:r>
    </w:p>
    <w:p w:rsidR="003829FC" w:rsidRDefault="003829FC" w:rsidP="003829FC">
      <w:pPr>
        <w:ind w:left="26" w:firstLine="694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يضع نقاد الحداثة شروطاً للناقد الشمولي الذين يسمون نقده بسمات الحداثة المطلوبة ، ويقع في قمة هذه الشروط شرطان أساسيان هما الرؤية والمنهج ؛ أما الرؤية فهي الفلسفة النقدية الشاملة والمنظور المتكامل للعمل المنقود سواء أكان قضية نقدية أم نصاً أدبياً فغياب هذه الرؤية يعني غياباً للادراك الشمولي لمادة النقد وفضائه المنقود .</w:t>
      </w:r>
      <w:bookmarkStart w:id="0" w:name="_GoBack"/>
      <w:bookmarkEnd w:id="0"/>
    </w:p>
    <w:p w:rsidR="003829FC" w:rsidRDefault="003829FC" w:rsidP="003829FC">
      <w:pPr>
        <w:ind w:firstLine="720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بينما يعني المنهج اعتماد الناقد على سلسلة من الخطوات الاجرائية المتسقة فيما بينها التي تميل إلى ضرب من ضروب النقد المنهجية الخارجية أو الداخلية التي تمنح النقد وجهته الموضوعية المطلوبة .</w:t>
      </w:r>
    </w:p>
    <w:p w:rsidR="003829FC" w:rsidRDefault="003829FC" w:rsidP="003829FC">
      <w:pPr>
        <w:ind w:firstLine="720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وإذا ما أردنا أن نطبِّق هذين الشرطين لناقد الحداثة على الناقد فاضل ثامر لوجدنا تمثلهما تماماً في نقده على نحو واعٍ بأهميتهما، ودراية ومعرفة بضرورة تحققهما .</w:t>
      </w:r>
    </w:p>
    <w:p w:rsidR="003829FC" w:rsidRDefault="003829FC" w:rsidP="003829FC">
      <w:pPr>
        <w:ind w:firstLine="720"/>
        <w:jc w:val="right"/>
        <w:rPr>
          <w:rFonts w:hint="cs"/>
          <w:rtl/>
          <w:lang w:bidi="ar-IQ"/>
        </w:rPr>
      </w:pPr>
      <w:r>
        <w:rPr>
          <w:rFonts w:hint="cs"/>
          <w:rtl/>
          <w:lang w:bidi="ar-IQ"/>
        </w:rPr>
        <w:t>إن نظرةً متفحصة للخطاب النقدي عند فاضل ثامر المتجسد في كتبه النقدية ومقالاته تفصح عن اتحاد الرؤية والمنهج لديه ، ويتم ذلك عن طريقين ، الطريق المباشر عبر تفوهات الناقد في مقدمات كتبه ولاسيما كتابه (الصوت الآخر) ، أو من خلال مقالاته ولاسيما مقالته (الفن والأدب بين الرؤية والرؤيا) ، أو الطريق غير المباشر الذي نصل إليه عبر قراءتنا لدراساته النقدية النظرية والتطبيقية التي تؤطر فضاءها النقدي بهاتين الدعامتين: (الرؤية والمنهج) .</w:t>
      </w:r>
    </w:p>
    <w:p w:rsidR="003829FC" w:rsidRPr="003829FC" w:rsidRDefault="003829FC" w:rsidP="003829FC">
      <w:pPr>
        <w:jc w:val="right"/>
        <w:rPr>
          <w:rFonts w:hint="cs"/>
          <w:sz w:val="40"/>
          <w:szCs w:val="40"/>
          <w:rtl/>
          <w:lang w:bidi="ar-IQ"/>
        </w:rPr>
      </w:pPr>
    </w:p>
    <w:sectPr w:rsidR="003829FC" w:rsidRPr="003829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FC"/>
    <w:rsid w:val="003829FC"/>
    <w:rsid w:val="00CB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</dc:creator>
  <cp:lastModifiedBy>Aseel</cp:lastModifiedBy>
  <cp:revision>1</cp:revision>
  <dcterms:created xsi:type="dcterms:W3CDTF">2018-12-02T15:42:00Z</dcterms:created>
  <dcterms:modified xsi:type="dcterms:W3CDTF">2018-12-02T15:44:00Z</dcterms:modified>
</cp:coreProperties>
</file>