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E9" w:rsidRDefault="00CF76E9" w:rsidP="00CF76E9">
      <w:pPr>
        <w:spacing w:line="360" w:lineRule="auto"/>
        <w:jc w:val="both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اكتساب المضاف المذكر التأنيث من المضاف إليه المؤنث:</w:t>
      </w:r>
    </w:p>
    <w:p w:rsidR="00CF76E9" w:rsidRDefault="00CF76E9" w:rsidP="00CF76E9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قد يكتسب المضاف المذكر التأنيث من المضاف إليه المؤنث ، بشرط أن يكون المضاف صالحا للحذف ، وأن يقوم المضاف إليه مقامه ، ويفهم منه ذلك المعنى ، نحو: ((قُطعتْ بعضُ أصابعِه)) ، فصح تأنيث المضاف (بعض) وهو مذكر ؛ لإضافته إلى (أصابع) ، وهو مؤنث ، لصحة الاستغناء بالمضاف إليه ، وهو (أصابع) ، عنه إذ يصح أن نقول: (قُطعتْ أصابعُه) ، ومنه الشاهد: </w:t>
      </w:r>
    </w:p>
    <w:p w:rsidR="00CF76E9" w:rsidRDefault="00CF76E9" w:rsidP="00CF76E9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مشينَ كما اهتزتْ رماحٌ </w:t>
      </w:r>
      <w:proofErr w:type="spellStart"/>
      <w:r>
        <w:rPr>
          <w:rFonts w:cs="Arial"/>
          <w:sz w:val="36"/>
          <w:szCs w:val="36"/>
          <w:rtl/>
        </w:rPr>
        <w:t>تسفّهت</w:t>
      </w:r>
      <w:proofErr w:type="spellEnd"/>
      <w:r>
        <w:rPr>
          <w:rFonts w:cs="Arial"/>
          <w:sz w:val="36"/>
          <w:szCs w:val="36"/>
          <w:rtl/>
        </w:rPr>
        <w:t xml:space="preserve">     أعاليَها مرُّ الرياحِ </w:t>
      </w:r>
      <w:proofErr w:type="spellStart"/>
      <w:r>
        <w:rPr>
          <w:rFonts w:cs="Arial"/>
          <w:sz w:val="36"/>
          <w:szCs w:val="36"/>
          <w:rtl/>
        </w:rPr>
        <w:t>النواسمِ</w:t>
      </w:r>
      <w:proofErr w:type="spellEnd"/>
    </w:p>
    <w:p w:rsidR="00CF76E9" w:rsidRDefault="00CF76E9" w:rsidP="00CF76E9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اكتساب المضاف المؤنث التذكير من المضاف إليه المذكر:</w:t>
      </w:r>
    </w:p>
    <w:p w:rsidR="00CF76E9" w:rsidRDefault="00CF76E9" w:rsidP="00CF76E9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ويجوز العكس أيضا ، أي إن المضاف المؤنث يكتسب التذكير من المضاف إليه المذكر ، بالشرط المذكور ، كقوله تعالى: ((إنّ رحمةَ اللهِ قريبٌ من المحسنينَ)) ، فـ (رحمة) مؤنث ، وقد أُخبر عنه </w:t>
      </w:r>
      <w:proofErr w:type="spellStart"/>
      <w:r>
        <w:rPr>
          <w:rFonts w:cs="Arial"/>
          <w:sz w:val="36"/>
          <w:szCs w:val="36"/>
          <w:rtl/>
        </w:rPr>
        <w:t>بـ</w:t>
      </w:r>
      <w:proofErr w:type="spellEnd"/>
      <w:r>
        <w:rPr>
          <w:rFonts w:cs="Arial"/>
          <w:sz w:val="36"/>
          <w:szCs w:val="36"/>
          <w:rtl/>
        </w:rPr>
        <w:t xml:space="preserve"> (قريب) ، وهو مذكر ؛ وذلك لأنه اكتسب التذكير من المضاف إليه ، وهو لفظ الجلالة (الله) </w:t>
      </w:r>
    </w:p>
    <w:p w:rsidR="00CF76E9" w:rsidRDefault="00CF76E9" w:rsidP="00CF76E9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فإن لم يصلح حذف المضاف والاستغناء عنه بالمضاف إليه لم يجز ما ذكر فلا نقول: ((خرجت غلامُ هندٍ)) ، إذ لا يصح أن نقول: ((خرجت هندٌ)) ، ويفهم منه خروج الغلام.</w:t>
      </w:r>
    </w:p>
    <w:p w:rsidR="00BA155E" w:rsidRDefault="00BA155E"/>
    <w:sectPr w:rsidR="00BA15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CF76E9"/>
    <w:rsid w:val="00BA155E"/>
    <w:rsid w:val="00C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2</cp:revision>
  <dcterms:created xsi:type="dcterms:W3CDTF">2018-11-29T08:18:00Z</dcterms:created>
  <dcterms:modified xsi:type="dcterms:W3CDTF">2018-11-29T08:18:00Z</dcterms:modified>
</cp:coreProperties>
</file>