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7E" w:rsidRPr="00720402" w:rsidRDefault="0022257E" w:rsidP="0022257E">
      <w:pPr>
        <w:jc w:val="center"/>
        <w:rPr>
          <w:rFonts w:asciiTheme="minorBidi" w:hAnsiTheme="minorBidi" w:hint="cs"/>
          <w:b/>
          <w:bCs/>
          <w:sz w:val="32"/>
          <w:szCs w:val="32"/>
          <w:lang w:bidi="ar-IQ"/>
        </w:rPr>
      </w:pPr>
      <w:bookmarkStart w:id="0" w:name="_GoBack"/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أزدهار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النتاج الادبي:</w:t>
      </w:r>
    </w:p>
    <w:bookmarkEnd w:id="0"/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لقد طبع الانتاج الادبي لعصر النهضة بالكلاسيكية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والاالنسانية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والتأكيد على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متعة الحياة وبرز في هذا المجال الكاتب الفرنس الفكاهي رابلي )1553-1490</w:t>
      </w:r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>(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صاحب كتاب )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كاركاتتوا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ؤبانتاغزول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>( وهو عبارة عن استعراض فكاهي الحياة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العامة يؤكد فيه على الانسان. وكذلك الفرنسي مايكل دي مونتين )1592-1513</w:t>
      </w:r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>(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الذي كتب ) المقالات( وهي نوع أدبي جديد تعتمد الاسلوب النثري الجميل ويؤكد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فيه على التسامح والحرية والفردية والاستقلال الفكري من خلا أثارة التساؤلات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الدقيقة للحصول على القافة الحقيقية.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أما ميكائيل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سيرفانتس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االسبائي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)1616-1547( فقد سخر من حياة العصور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الوسطى في كتابه )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دونكشيوت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>( بعد أن عادت اسبانيا إلى العصور الوسطى بعد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وكان أبرز ما توصل إليه الفن الادبي في القرن السادس عشر فكان في حقلي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الملحمة والدراما اللتين تأثر!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باكلاسيكية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والانسانية شكال وموضوعا. وكان من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أبرز من أشتهر في ايطاليا في هذا المجال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اورالندو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اريوستد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)1533-1474</w:t>
      </w:r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>(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وفي البرتغال كتب نتاجاته اوف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كاموين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)1580-1525(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حول رحلة فاسكو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ديكاما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إلى الهند وكتب لوبي دي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فيغا</w:t>
      </w:r>
      <w:proofErr w:type="spellEnd"/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عن تاريخ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اسباتيا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. وفي فرنسا كتب بيير دي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روتارد</w:t>
      </w:r>
      <w:proofErr w:type="spellEnd"/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بأسلوب كلاسيكي تحت التأثير الروماني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كما برزت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أشعارادموند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سبنس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)1599-1552( في انكلترا الذي: مجد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الملكية القومية بأسلوب شعري جميل. أما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كرستيوفز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مارلو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>(1564-1599)</w:t>
      </w:r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 xml:space="preserve"> -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 xml:space="preserve">( 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فقد فتح باب الدراما بمسرحية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تيمورلنك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وفاوستو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وادوارد الثاني بأسلوب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وشعري رقيق وجذاب إذ حلت مسرحياته الكوميدية والمأساوية محل المسرحيات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الدينية التي كانت من سمات أدب العصور الوسطى فكانت مسرحياته أكثر واقعية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lastRenderedPageBreak/>
        <w:t>وأقوى تأثيرا في عواطف الانسان الحقيقية</w:t>
      </w:r>
      <w:r w:rsidRPr="00720402">
        <w:rPr>
          <w:rFonts w:asciiTheme="minorBidi" w:hAnsiTheme="minorBidi"/>
          <w:b/>
          <w:bCs/>
          <w:sz w:val="32"/>
          <w:szCs w:val="32"/>
        </w:rPr>
        <w:t>.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ومن كتاب المسرحيات الاشهر في انكلترا وليم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شكسبين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(1616-)1764</w:t>
      </w:r>
      <w:r w:rsidRPr="00720402">
        <w:rPr>
          <w:rFonts w:asciiTheme="minorBidi" w:hAnsiTheme="minorBidi"/>
          <w:b/>
          <w:bCs/>
          <w:sz w:val="32"/>
          <w:szCs w:val="32"/>
        </w:rPr>
        <w:t>(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الذي تحول بعد وصوله لندن عام 1584 من ممثل إلى كاتب مسرحيات لثالث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مسارح رئيسة في لندن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في ميدان العلوم: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الفلك: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برز في هذا الحقل رجال كان من أهمهم القس البولندي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كوبزتيكوس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(1473-1543)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</w:rPr>
        <w:t>-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>الذي بحث في الكلاسيك والرياضيات والفلك والطب" والقوانين الكنسية في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ايطاليا حيث التقى بالعديد من الانسانيين وتعلم الكثير منهم عن الفلكيين اليونان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القدامى. تحدث كتابه عن دوران الاجسام السماوية وأبرز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أكتشافاته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>. "فقد بين أن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الارض كوكب من الكواكب السيارة التي تدور حول الشمس وليست هي مركز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الكون مما يعني تجريد الارض من قدسيتها وأهميتها وهو ما أثار هياجا عاما في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أوربا تأييدا ومعارضة</w:t>
      </w:r>
      <w:r w:rsidRPr="00720402">
        <w:rPr>
          <w:rFonts w:asciiTheme="minorBidi" w:hAnsiTheme="minorBidi"/>
          <w:b/>
          <w:bCs/>
          <w:sz w:val="32"/>
          <w:szCs w:val="32"/>
        </w:rPr>
        <w:t>.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أما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تيكو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براهي (1601-1546) فهو الفلكي الدنماركي الذي ساعده ملك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الدنمارك فردريك الثاني )1588-1559( ماليا لتأسيس مختبره في بحر البلطيق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وزوده بالمراصد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واآلالات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والورق ومطبعة. من آرائه أن الكواكب السيارة تدور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حول الشمس فيما تدور الاجرام السماوية حول الارض الثابتة وكان سبب خطته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وفشله هو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أعتماده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على التنجيم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ولانه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أراد التوفيق بين نظرية بطليموس وكوبر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</w:rPr>
      </w:pP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نيكوس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. .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فيما أيد العالم الالماني كبلر(1630-1571)نظرية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كوبير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نيكوس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وأثبت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رياضيا أن الارض والكواكب تدور حول الشمس في مدار بيضوي وليس هي مركزا للكون  مستديرا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أن سرعت الكوكب تزداد كلما اقترب من الشمس: مما يعني تناقص قطن المدار</w:t>
      </w:r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>: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lastRenderedPageBreak/>
        <w:t>الذي يسير فيه الكوكب كلما أقترب من المركز أي الشمس وأن مكعب المسافة بين و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الكواكب والشمس يتناسب مع مربع زمن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دؤران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الكوكب</w:t>
      </w:r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>.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أما العالم الايطالي الشهير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غاليلو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)1642-1564( في الرياضيات والميكانيك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والفيزياء والا سيما الضوء والعدسات فضلا عن الكلاسيك فقد حسن التلسكوب عام1609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وبرهن من خلاله  على أن الارض تدور حول نفسها وأن المشتري توابع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تدون حوله وهو ما أثار المحكمة التي ادانته على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ترويجة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مثل هذه النظريات التي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عدتها الكنيسة باطلة ووضع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غاليلى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تحت المراقبة في السنوات العشر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األخيرة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من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حياته. .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ب- الرياضيات: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تطور هذا العلم من دون أن يتأثر بالحركة الكلاسيكية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وا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لانسانية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فقد كانت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أهدافه في القرن السادس عشر الاقتصاد في تكاليف بناء الحصون وتسهيل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الحسابات في المعاملات التجارية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وأصلاح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التقويم. وقد أشتهر في الرياضيات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عالمان في ايطاليا هما (1559-1506)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كاردان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>(1501-1576) أما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هولندا فقد أشتهر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ستيفتس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(1640-1548) فيما تمكن الرياضي الاسكتلندي جون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نيبير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)1617-1570( من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أختراع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اللوغاريتمات عام 1614 وأستعمل الفارزة أولا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مرة في الكسر العشري</w:t>
      </w:r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>.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ج- الميكانيك والفيزياء</w:t>
      </w:r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>: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تقدم: العلم في هذين: الحقلين: في القرن السادس عشر فابتكر بورتا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الايطالي فانوسا سحريا: وأستطاع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جاندن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صناعة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ميكركوب</w:t>
      </w:r>
      <w:proofErr w:type="spellEnd"/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مركب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عا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م390 1 تلا ذلك ظهور التلسكوب في إيطاليا وانكلترا! وهولندا فيما اجر</w:t>
      </w:r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>: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وليم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غلبرت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االنكليزي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)1603-1540(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تجاربة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على الاجسام المغناطيسية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كان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لغاليو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انجازات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وأختراعات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في هذا المجال أهمها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أختراع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المحرار وميزان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lastRenderedPageBreak/>
        <w:t>توازن السوائل وصناعة ساعة فلكية وغيرها</w:t>
      </w:r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>.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د- التعدين: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نتيجة الاهتمام الرأسمالية الحديثة بالتعدين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وأستغلال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المناجم على نطاق واسع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ظهر: علم التعدين. وكان أول من أشتغل فيه الاماني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اغريكوال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)1555-1490</w:t>
      </w:r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>(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الذي كان قد درس الطب والفيزياء والكيمياء والرياضيات في ايطاليا وألف كتابا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أسماء " أثنا عشر مجلدا عن المعادن" بين فيه طرق تقدير كمية المعدن في المواد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الخام ووصف انتاج الفولاذ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لاول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مرة وهي الطريقة المسماة طريقة الفرن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المنعكس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هـ- الطب</w:t>
      </w:r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>: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لم يحصل تقدم كبير في القرن السادس عشر في حقل الطب ألا ان التقدم الكبير</w:t>
      </w:r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>: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كان قد حصل فيه منذ العصور الوسطى والاهتمام أطباء عصر النهضة بالكلاسيك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مع ذلك أضاف الايطاليان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استاشيو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وفالوبيو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تفاصيل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كثيرة إلى علم التشريح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والفسلجة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الحديثة. وأخترع الايطالي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سانتوريو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آلة</w:t>
      </w:r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>.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لقياس معدل سرعة النبض. فيما بين الالماني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ثيوفراستس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أن الطب عبارة عن علم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يؤكد على التجربة العملية وأن هنالك عالقة بين الطب والكيمياء وأعتقد ان للمعادن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والمياه المعدنية فوائد صحية. ولما استحال على الهولندي اندريه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فيزليس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(1514-1564)</w:t>
      </w:r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 xml:space="preserve"> -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أجراء تجاربه على الانسان استعان بالكلاب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لاجرائتها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>.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و- علم النبات والحيوان</w:t>
      </w:r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>: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شهد القرن السادس عشر دراسة عدد من أطباء علم التشريح المقارن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فوضعوا أسس علم النبات والحيوان. فقد فحص الطبيب الفرنسي بيير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بيلون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مئات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lastRenderedPageBreak/>
        <w:t xml:space="preserve">الأنواع من الطيور 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والأسمااك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ووضع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كونراد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فون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جيسز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(1516-1560) جدولا و للنباتات وألف أربع مجلدات في تاريخ الحيوانات بعد أن نال الدكتوراه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فى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الطب بفرنسا فحاز على شهرة واسعة في القرن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ألسادس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عشر في علوم الحياه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 xml:space="preserve">- 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علم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الأقصاد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>:</w:t>
      </w:r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ab/>
        <w:t>.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بدأت دراسة علم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الأقتصاد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على أسس علمية تقينا لرغبة الناس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فى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معرفة نظريات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الثروه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القومية وتطبيقها في نهاية القرن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السابس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عشر٠ فيما نشأ فلورنسا خلال هذه الحقبة علم الاحصاء، حتى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أمتلات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المؤلفات التاريخية لعصر النهضة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بالمعلومات عن السكان والولادات والضرائب والتجارة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الدوللية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والأسواق  و المصارف المدن والرواتب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والأجو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ر والأسعار وغيرها</w:t>
      </w:r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>-.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د - الجغرافية: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>.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>مع بدء الكشوف الجغرافية وتوسع التجارة خطت الجغرافية خطوات كبير؛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في القرن السادس عشر. وكان من أبرز جغرافي ذلك القرن الهولندي فون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كريمير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>_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المعروف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باسعمه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اللاتيني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ميركيتر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(1512-1594) الذي يراس في جامعة لوفين حيث أسس مختبرا جغرافيا وأعد الخرائط والتخطيطات لحملات شارل الخامس٠ (1519-1556) العسكرية كما انه رسم الخرائط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التفصيليه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الحديثه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ورسم خارطة للكرة الأرضية ذ-ات خطوط طول وعرض متوازية بزاوية قائما ٠ على أوراق مستطيله. ضمن ما عرف بمشروع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مركيتر</w:t>
      </w:r>
      <w:proofErr w:type="spellEnd"/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ط- لفلسفة الحديثة و التنجيم والسحر</w:t>
      </w:r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>: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برز فيها الفيلسوف  الايطالي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جيوردانوبرونو</w:t>
      </w:r>
      <w:proofErr w:type="spellEnd"/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الذي تأثر بالتيارات الحديثة. فقد نظر إلى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الطبيعه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نظرة قدسية وأكد الكون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تسييطر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عليه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قوانين.الهية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مقدسة ثابتة،-فمزج بذلك بين -العلوم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الحديثه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والدين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والقى المحاضر ات في جامعة باريس ودرس الفلك في جامعة تولوز ثم سافر إلى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انكلترا ومنها إلى سويسرا حيث طرده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الكلفنيون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ولم يحصل علي مساعدة اللوثريين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في المانيا فاضطر إلى العودة إلى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أيطاليا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التي سجن فيها سبع سنوات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أنتهت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بحرقه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في روما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lastRenderedPageBreak/>
        <w:t xml:space="preserve">أما . فرانسيس بيكون) 1621-1561( فقد كتب المقالات </w:t>
      </w:r>
      <w:r w:rsidRPr="00720402">
        <w:rPr>
          <w:rFonts w:asciiTheme="minorBidi" w:hAnsiTheme="minorBidi"/>
          <w:b/>
          <w:bCs/>
          <w:sz w:val="32"/>
          <w:szCs w:val="32"/>
          <w:rtl/>
          <w:lang w:bidi="ar-IQ"/>
        </w:rPr>
        <w:t xml:space="preserve">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ونيواتلانتس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  . وقد كان يؤكد وجوب أن تكون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الفلسقة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استقرائية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تجريبية نافعة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وبقي الايمان بالتنجيم سائدا بين الناس حتى أن شارل الخامس وفرانسوا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الاول(1745-1765) 1( وهما من أباطرة الامبراطورية الرومانية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المقدسء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استعان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بمنجميهما الرسميين لتعيين الاوقات المناسبة و" السعيدة للسفر والحرب والصلح</w:t>
      </w:r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>.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وأستمر السحر في النصف الثاني من القرن السادس عشر في حين وأصلت الكنيسة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البحث عن السحرة وأحراقهم.</w:t>
      </w:r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>.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lang w:bidi="he-IL"/>
        </w:rPr>
        <w:t xml:space="preserve">- 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>في ميدان الفنون: - لقد امتزج الفن المسيحي بالفن الكلاسيكي بصورة تدريجية حينما ثم استخدام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الفن الكلاسيكي في القضايا المسيحية مما أدى إلى بالنتيجة ظهور فن جديد هو فن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عصر النهضة الذي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أمتزجت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فيه النزعة الكلاسيكية بالمسيحية. فقد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تالشت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فنون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عصر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االقطاع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والفن القوطي نتيجة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للتحوالت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الشاملة التي عمت أوربا منذ نهاية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القرن الثالث عشر.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هذا وقد أتاح فن عصر النهضة للفنان حرية التعبير عن عقليته والافصاح عن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جمال الاثار وتقليدها في الروح بشكل متميز مبدع. كما ظهر الانسان في فن عصر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النهضة وقد برزت قوته وسيطرته ومتعه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lang w:bidi="he-IL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كانت بداية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انهضة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الفنية في ايطاليا الاسباب تتصل بطبيعة التنافس القائم بين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امرائها للظهور والشهرة وكسب السمعة بأنهم رعاة للفنون : ولان روما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تمتلك</w:t>
      </w:r>
      <w:r w:rsidRPr="00720402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تاريخا وأثارا: ومجدا قديما عده الفنانون معينا ينهلون منه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ويمزجوته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بالحاضر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للابتكار</w:t>
      </w:r>
      <w:r w:rsidRPr="00720402">
        <w:rPr>
          <w:rFonts w:asciiTheme="minorBidi" w:hAnsiTheme="minorBidi"/>
          <w:b/>
          <w:bCs/>
          <w:sz w:val="32"/>
          <w:szCs w:val="32"/>
        </w:rPr>
        <w:t>.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كما ساعد بعض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البابوات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في </w:t>
      </w:r>
      <w:proofErr w:type="spellStart"/>
      <w:r w:rsidRPr="00720402">
        <w:rPr>
          <w:rFonts w:asciiTheme="minorBidi" w:hAnsiTheme="minorBidi"/>
          <w:b/>
          <w:bCs/>
          <w:sz w:val="32"/>
          <w:szCs w:val="32"/>
          <w:rtl/>
        </w:rPr>
        <w:t>أزدهار</w:t>
      </w:r>
      <w:proofErr w:type="spellEnd"/>
      <w:r w:rsidRPr="00720402">
        <w:rPr>
          <w:rFonts w:asciiTheme="minorBidi" w:hAnsiTheme="minorBidi"/>
          <w:b/>
          <w:bCs/>
          <w:sz w:val="32"/>
          <w:szCs w:val="32"/>
          <w:rtl/>
        </w:rPr>
        <w:t xml:space="preserve"> الفن في روما من خلالا تشييد الابنية</w:t>
      </w:r>
    </w:p>
    <w:p w:rsidR="0022257E" w:rsidRPr="00720402" w:rsidRDefault="0022257E" w:rsidP="0022257E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t>الدينية ومثال ذلك تشييد كنيسة القديس بطرس وتزينها لا سيما أيام البابا جون</w:t>
      </w:r>
    </w:p>
    <w:p w:rsidR="00514AAE" w:rsidRPr="00C30BD2" w:rsidRDefault="0022257E" w:rsidP="0022257E">
      <w:pPr>
        <w:rPr>
          <w:rFonts w:hint="cs"/>
        </w:rPr>
      </w:pPr>
      <w:r w:rsidRPr="00720402">
        <w:rPr>
          <w:rFonts w:asciiTheme="minorBidi" w:hAnsiTheme="minorBidi"/>
          <w:b/>
          <w:bCs/>
          <w:sz w:val="32"/>
          <w:szCs w:val="32"/>
          <w:rtl/>
        </w:rPr>
        <w:lastRenderedPageBreak/>
        <w:t>الثاني )1563-1503( وليو العاشر الذي تولى السدة البابوية بين عامي (1513-</w:t>
      </w:r>
      <w:r w:rsidRPr="00720402">
        <w:rPr>
          <w:rFonts w:asciiTheme="minorBidi" w:hAnsiTheme="minorBidi"/>
          <w:b/>
          <w:bCs/>
          <w:sz w:val="32"/>
          <w:szCs w:val="32"/>
        </w:rPr>
        <w:t xml:space="preserve"> </w:t>
      </w:r>
      <w:r w:rsidRPr="00720402">
        <w:rPr>
          <w:rFonts w:asciiTheme="minorBidi" w:hAnsiTheme="minorBidi"/>
          <w:b/>
          <w:bCs/>
          <w:sz w:val="32"/>
          <w:szCs w:val="32"/>
          <w:rtl/>
        </w:rPr>
        <w:t>وكذلك كان الامر مع الفن في كل من فلورنسا وميلانو</w:t>
      </w:r>
    </w:p>
    <w:sectPr w:rsidR="00514AAE" w:rsidRPr="00C30BD2" w:rsidSect="005D203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0FC"/>
    <w:rsid w:val="00033BFE"/>
    <w:rsid w:val="00192C55"/>
    <w:rsid w:val="0022257E"/>
    <w:rsid w:val="002230FC"/>
    <w:rsid w:val="002D7E76"/>
    <w:rsid w:val="00514AAE"/>
    <w:rsid w:val="00583D32"/>
    <w:rsid w:val="005D2033"/>
    <w:rsid w:val="00967FC1"/>
    <w:rsid w:val="00C30BD2"/>
    <w:rsid w:val="00F2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1175</Words>
  <Characters>6702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2017-10-03T06:20:00Z</dcterms:created>
  <dcterms:modified xsi:type="dcterms:W3CDTF">2017-10-03T06:20:00Z</dcterms:modified>
</cp:coreProperties>
</file>