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9" w:rsidRPr="00FD6A52" w:rsidRDefault="00927BB9" w:rsidP="00927BB9">
      <w:pPr>
        <w:spacing w:line="276" w:lineRule="auto"/>
        <w:ind w:firstLine="720"/>
        <w:jc w:val="both"/>
        <w:rPr>
          <w:rFonts w:ascii="Simplified Arabic" w:hAnsi="Simplified Arabic"/>
          <w:rtl/>
          <w:lang w:bidi="ar-IQ"/>
        </w:rPr>
      </w:pPr>
      <w:r w:rsidRPr="00FD6A52">
        <w:rPr>
          <w:rFonts w:ascii="Simplified Arabic" w:hAnsi="Simplified Arabic"/>
          <w:rtl/>
          <w:lang w:bidi="ar-IQ"/>
        </w:rPr>
        <w:t xml:space="preserve">قدم الاستاذ فريدريك </w:t>
      </w:r>
      <w:proofErr w:type="spellStart"/>
      <w:r w:rsidRPr="00FD6A52">
        <w:rPr>
          <w:rFonts w:ascii="Simplified Arabic" w:hAnsi="Simplified Arabic"/>
          <w:rtl/>
          <w:lang w:bidi="ar-IQ"/>
        </w:rPr>
        <w:t>بارث</w:t>
      </w:r>
      <w:proofErr w:type="spellEnd"/>
      <w:r w:rsidRPr="00501E62">
        <w:rPr>
          <w:rStyle w:val="a4"/>
          <w:rFonts w:ascii="Simplified Arabic" w:hAnsi="Simplified Arabic"/>
          <w:b/>
          <w:bCs/>
          <w:rtl/>
          <w:lang w:bidi="ar-IQ"/>
        </w:rPr>
        <w:footnoteReference w:customMarkFollows="1" w:id="1"/>
        <w:sym w:font="Symbol" w:char="F02A"/>
      </w:r>
      <w:r w:rsidRPr="00FD6A52">
        <w:rPr>
          <w:rFonts w:ascii="Simplified Arabic" w:hAnsi="Simplified Arabic"/>
          <w:rtl/>
          <w:lang w:bidi="ar-IQ"/>
        </w:rPr>
        <w:t xml:space="preserve">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F.</w:t>
      </w:r>
      <w:r w:rsidRPr="00FD6A52">
        <w:rPr>
          <w:rFonts w:ascii="Simplified Arabic" w:hAnsi="Simplified Arabic"/>
          <w:b/>
          <w:bCs/>
          <w:i/>
          <w:iCs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Barth</w:t>
      </w:r>
      <w:r w:rsidRPr="00FD6A52">
        <w:rPr>
          <w:rFonts w:ascii="Simplified Arabic" w:hAnsi="Simplified Arabic"/>
          <w:rtl/>
          <w:lang w:bidi="ar-IQ"/>
        </w:rPr>
        <w:t>) توجهاُ نظرياً عرف اصطلاحاً باسم النماذج المولدة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Generative</w:t>
      </w:r>
      <w:r w:rsidRPr="00FD6A52">
        <w:rPr>
          <w:rFonts w:ascii="Simplified Arabic" w:hAnsi="Simplified Arabic"/>
          <w:i/>
          <w:iCs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Models</w:t>
      </w:r>
      <w:r w:rsidRPr="00FD6A52">
        <w:rPr>
          <w:rFonts w:ascii="Simplified Arabic" w:hAnsi="Simplified Arabic"/>
          <w:rtl/>
          <w:lang w:bidi="ar-IQ"/>
        </w:rPr>
        <w:t>) الموجه نحو دراسة فعاليات التنظيم الاجتماعي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Social</w:t>
      </w:r>
      <w:r w:rsidRPr="00FD6A52">
        <w:rPr>
          <w:rFonts w:ascii="Simplified Arabic" w:hAnsi="Simplified Arabic"/>
          <w:i/>
          <w:iCs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Organization</w:t>
      </w:r>
      <w:r w:rsidRPr="00FD6A52">
        <w:rPr>
          <w:rFonts w:ascii="Simplified Arabic" w:hAnsi="Simplified Arabic"/>
          <w:rtl/>
          <w:lang w:bidi="ar-IQ"/>
        </w:rPr>
        <w:t>),  اذ يشير</w:t>
      </w:r>
      <w:r>
        <w:rPr>
          <w:rFonts w:ascii="Simplified Arabic" w:hAnsi="Simplified Arabic" w:hint="cs"/>
          <w:rtl/>
          <w:lang w:bidi="ar-IQ"/>
        </w:rPr>
        <w:t xml:space="preserve"> الى انه</w:t>
      </w:r>
      <w:r w:rsidRPr="00FD6A52">
        <w:rPr>
          <w:rFonts w:ascii="Simplified Arabic" w:hAnsi="Simplified Arabic"/>
          <w:rtl/>
          <w:lang w:bidi="ar-IQ"/>
        </w:rPr>
        <w:t xml:space="preserve"> : ينبغي اولا الاهتمام بدراسة الصورة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Form</w:t>
      </w:r>
      <w:r w:rsidRPr="00FD6A52">
        <w:rPr>
          <w:rFonts w:ascii="Simplified Arabic" w:hAnsi="Simplified Arabic"/>
          <w:rtl/>
          <w:lang w:bidi="ar-IQ"/>
        </w:rPr>
        <w:t>) في الحياة الاجتماعية</w:t>
      </w:r>
      <w:r>
        <w:rPr>
          <w:rFonts w:ascii="Simplified Arabic" w:hAnsi="Simplified Arabic" w:hint="cs"/>
          <w:rtl/>
          <w:lang w:bidi="ar-IQ"/>
        </w:rPr>
        <w:t>,</w:t>
      </w:r>
      <w:r w:rsidRPr="00FD6A52">
        <w:rPr>
          <w:rFonts w:ascii="Simplified Arabic" w:hAnsi="Simplified Arabic"/>
          <w:rtl/>
          <w:lang w:bidi="ar-IQ"/>
        </w:rPr>
        <w:t xml:space="preserve"> التي تتكون من تلك التسلسلات المتسقة في السلوك ضمن مجموعة كبيرة من الفقرات (المهام) التي يقوم بها الفرد</w:t>
      </w:r>
      <w:r w:rsidRPr="00FD6A52">
        <w:rPr>
          <w:rStyle w:val="a4"/>
          <w:rFonts w:ascii="Simplified Arabic" w:hAnsi="Simplified Arabic"/>
          <w:rtl/>
          <w:lang w:bidi="ar-IQ"/>
        </w:rPr>
        <w:footnoteReference w:customMarkFollows="1" w:id="2"/>
        <w:t>(1)</w:t>
      </w:r>
      <w:r w:rsidRPr="00FD6A52">
        <w:rPr>
          <w:rFonts w:ascii="Simplified Arabic" w:hAnsi="Simplified Arabic"/>
          <w:rtl/>
          <w:lang w:bidi="ar-IQ"/>
        </w:rPr>
        <w:t xml:space="preserve">. فالنماذج ليست معدة لتكون مماثلة لما تم ملاحظته عن انتظام الحياة الاجتماعية التي قيد الدراسة وإنما عوضاً عنها, هي المصممة لكي تماثل </w:t>
      </w:r>
      <w:proofErr w:type="spellStart"/>
      <w:r w:rsidRPr="00FD6A52">
        <w:rPr>
          <w:rFonts w:ascii="Simplified Arabic" w:hAnsi="Simplified Arabic"/>
          <w:rtl/>
          <w:lang w:bidi="ar-IQ"/>
        </w:rPr>
        <w:t>ماهو</w:t>
      </w:r>
      <w:proofErr w:type="spellEnd"/>
      <w:r w:rsidRPr="00FD6A52">
        <w:rPr>
          <w:rFonts w:ascii="Simplified Arabic" w:hAnsi="Simplified Arabic"/>
          <w:rtl/>
          <w:lang w:bidi="ar-IQ"/>
        </w:rPr>
        <w:t xml:space="preserve"> ملاحظ في انتظام الحياة الاجتماعية وبإجراءات محددة يستطيع توليد مثل هذا الانتظام او الصور الاجتماعية. </w:t>
      </w:r>
    </w:p>
    <w:p w:rsidR="00927BB9" w:rsidRPr="00FD6A52" w:rsidRDefault="00927BB9" w:rsidP="00927BB9">
      <w:pPr>
        <w:spacing w:line="276" w:lineRule="auto"/>
        <w:ind w:firstLine="720"/>
        <w:jc w:val="both"/>
        <w:rPr>
          <w:rFonts w:ascii="Simplified Arabic" w:hAnsi="Simplified Arabic"/>
          <w:rtl/>
          <w:lang w:bidi="ar-IQ"/>
        </w:rPr>
      </w:pPr>
      <w:r w:rsidRPr="00FD6A52">
        <w:rPr>
          <w:rFonts w:ascii="Simplified Arabic" w:hAnsi="Simplified Arabic"/>
          <w:rtl/>
          <w:lang w:bidi="ar-IQ"/>
        </w:rPr>
        <w:t>ان الفكرة الاساسية تكون بالنموذج الذي يشرح السلوك المعروض بتوزيع تكراري غير عشوائي للأفعال. وإذا كانت الفكرة الاساسية في النماذج هي الصور فان العنصر الاساس لهذه الفكرة هو الاختيار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Choice</w:t>
      </w:r>
      <w:r w:rsidRPr="00FD6A52">
        <w:rPr>
          <w:rFonts w:ascii="Simplified Arabic" w:hAnsi="Simplified Arabic"/>
          <w:rtl/>
          <w:lang w:bidi="ar-IQ"/>
        </w:rPr>
        <w:t xml:space="preserve">) الذي ينفذ في الحياة </w:t>
      </w:r>
      <w:r w:rsidRPr="00FD6A52">
        <w:rPr>
          <w:rFonts w:ascii="Simplified Arabic" w:hAnsi="Simplified Arabic"/>
          <w:rtl/>
          <w:lang w:bidi="ar-IQ"/>
        </w:rPr>
        <w:lastRenderedPageBreak/>
        <w:t>الاجتماعية عن طريق كوابح معينة وحوافز, وان حاصل جمع تطبيقات الناس للاختيارات النافذة في الحياة الاجتماعية يتمثل بتلك الكوابح المجتمعية والحوافز الانسانية</w:t>
      </w:r>
      <w:r>
        <w:rPr>
          <w:rFonts w:ascii="Simplified Arabic" w:hAnsi="Simplified Arabic" w:hint="cs"/>
          <w:rtl/>
          <w:lang w:bidi="ar-IQ"/>
        </w:rPr>
        <w:t>.</w:t>
      </w:r>
      <w:r w:rsidRPr="00FD6A52">
        <w:rPr>
          <w:rFonts w:ascii="Simplified Arabic" w:hAnsi="Simplified Arabic"/>
          <w:rtl/>
          <w:lang w:bidi="ar-IQ"/>
        </w:rPr>
        <w:t xml:space="preserve"> وفي ضوء الاوضاع الاجتماعية بوصفها المنتجة للصور, كما ينبغي لهذا الحاصل من التطبيقات ان يكون رابطاً للعوامل المحددة لتلك الاوضاع الاجتماعية بأنماطها المنتجة</w:t>
      </w:r>
      <w:r>
        <w:rPr>
          <w:rFonts w:ascii="Simplified Arabic" w:hAnsi="Simplified Arabic" w:hint="cs"/>
          <w:rtl/>
          <w:lang w:bidi="ar-IQ"/>
        </w:rPr>
        <w:t>,</w:t>
      </w:r>
      <w:r w:rsidRPr="00FD6A52">
        <w:rPr>
          <w:rFonts w:ascii="Simplified Arabic" w:hAnsi="Simplified Arabic"/>
          <w:rtl/>
          <w:lang w:bidi="ar-IQ"/>
        </w:rPr>
        <w:t xml:space="preserve"> اذ يعتمد الارتباط على نزعات او ميول الناس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Human</w:t>
      </w:r>
      <w:r w:rsidRPr="00FD6A52">
        <w:rPr>
          <w:rFonts w:ascii="Simplified Arabic" w:hAnsi="Simplified Arabic"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Dispositions</w:t>
      </w:r>
      <w:r w:rsidRPr="00FD6A52">
        <w:rPr>
          <w:rFonts w:ascii="Simplified Arabic" w:hAnsi="Simplified Arabic"/>
          <w:rtl/>
          <w:lang w:bidi="ar-IQ"/>
        </w:rPr>
        <w:t>) التي تعمل على تقييم الاوضاع وما هو متوقع في ان يقوم به الناس</w:t>
      </w:r>
      <w:r w:rsidRPr="00FD6A52">
        <w:rPr>
          <w:rStyle w:val="a4"/>
          <w:rFonts w:ascii="Simplified Arabic" w:hAnsi="Simplified Arabic"/>
          <w:rtl/>
          <w:lang w:bidi="ar-IQ"/>
        </w:rPr>
        <w:footnoteReference w:customMarkFollows="1" w:id="3"/>
        <w:t>(1)</w:t>
      </w:r>
      <w:r w:rsidRPr="00FD6A52">
        <w:rPr>
          <w:rFonts w:ascii="Simplified Arabic" w:hAnsi="Simplified Arabic"/>
          <w:rtl/>
          <w:lang w:bidi="ar-IQ"/>
        </w:rPr>
        <w:t>.</w:t>
      </w:r>
    </w:p>
    <w:p w:rsidR="00CD0301" w:rsidRDefault="00CD0301">
      <w:pPr>
        <w:rPr>
          <w:rFonts w:hint="cs"/>
        </w:rPr>
      </w:pPr>
      <w:bookmarkStart w:id="0" w:name="_GoBack"/>
      <w:bookmarkEnd w:id="0"/>
    </w:p>
    <w:sectPr w:rsidR="00CD0301" w:rsidSect="00FD7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A9" w:rsidRDefault="000C19A9" w:rsidP="00927BB9">
      <w:r>
        <w:separator/>
      </w:r>
    </w:p>
  </w:endnote>
  <w:endnote w:type="continuationSeparator" w:id="0">
    <w:p w:rsidR="000C19A9" w:rsidRDefault="000C19A9" w:rsidP="0092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A9" w:rsidRDefault="000C19A9" w:rsidP="00927BB9">
      <w:r>
        <w:separator/>
      </w:r>
    </w:p>
  </w:footnote>
  <w:footnote w:type="continuationSeparator" w:id="0">
    <w:p w:rsidR="000C19A9" w:rsidRDefault="000C19A9" w:rsidP="00927BB9">
      <w:r>
        <w:continuationSeparator/>
      </w:r>
    </w:p>
  </w:footnote>
  <w:footnote w:id="1">
    <w:p w:rsidR="00927BB9" w:rsidRPr="00B20FA5" w:rsidRDefault="00927BB9" w:rsidP="00927BB9">
      <w:pPr>
        <w:pStyle w:val="1"/>
        <w:spacing w:line="276" w:lineRule="auto"/>
        <w:jc w:val="lowKashida"/>
        <w:rPr>
          <w:rFonts w:ascii="Simplified Arabic" w:hAnsi="Simplified Arabic"/>
          <w:sz w:val="28"/>
          <w:szCs w:val="28"/>
          <w:rtl/>
        </w:rPr>
      </w:pPr>
      <w:r w:rsidRPr="00B20FA5">
        <w:rPr>
          <w:sz w:val="28"/>
          <w:szCs w:val="28"/>
          <w:rtl/>
        </w:rPr>
        <w:sym w:font="Symbol" w:char="F02A"/>
      </w:r>
      <w:r w:rsidRPr="00B20FA5">
        <w:rPr>
          <w:rFonts w:ascii="Simplified Arabic" w:hAnsi="Simplified Arabic"/>
          <w:sz w:val="28"/>
          <w:szCs w:val="28"/>
          <w:rtl/>
        </w:rPr>
        <w:t xml:space="preserve"> </w:t>
      </w:r>
      <w:proofErr w:type="spellStart"/>
      <w:r w:rsidRPr="00F16DCF">
        <w:rPr>
          <w:rFonts w:asciiTheme="majorBidi" w:hAnsiTheme="majorBidi" w:cstheme="majorBidi"/>
          <w:b/>
          <w:bCs/>
          <w:i/>
          <w:iCs/>
          <w:sz w:val="28"/>
          <w:szCs w:val="28"/>
        </w:rPr>
        <w:t>F.Barth</w:t>
      </w:r>
      <w:proofErr w:type="spellEnd"/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r w:rsidRPr="00B20FA5">
        <w:rPr>
          <w:rFonts w:ascii="Simplified Arabic" w:hAnsi="Simplified Arabic"/>
          <w:sz w:val="28"/>
          <w:szCs w:val="28"/>
          <w:rtl/>
        </w:rPr>
        <w:t xml:space="preserve">(1928-)  نرويجي الجنسية من أهم أعلام الأنثروبولوجيا المعاصرة وأفضل من عرف بدراساته البنائية لجماعات الشرق الأوسط والبدو ونحو دراسة البناءات السياسية </w:t>
      </w:r>
      <w:proofErr w:type="spellStart"/>
      <w:r w:rsidRPr="00B20FA5">
        <w:rPr>
          <w:rFonts w:ascii="Simplified Arabic" w:hAnsi="Simplified Arabic"/>
          <w:sz w:val="28"/>
          <w:szCs w:val="28"/>
          <w:rtl/>
        </w:rPr>
        <w:t>والقرابية</w:t>
      </w:r>
      <w:proofErr w:type="spellEnd"/>
      <w:r w:rsidRPr="00B20FA5">
        <w:rPr>
          <w:rFonts w:ascii="Simplified Arabic" w:hAnsi="Simplified Arabic"/>
          <w:sz w:val="28"/>
          <w:szCs w:val="28"/>
          <w:rtl/>
        </w:rPr>
        <w:t xml:space="preserve"> في تلك </w:t>
      </w:r>
      <w:r w:rsidRPr="00B20FA5">
        <w:rPr>
          <w:rFonts w:ascii="Simplified Arabic" w:hAnsi="Simplified Arabic" w:hint="cs"/>
          <w:sz w:val="28"/>
          <w:szCs w:val="28"/>
          <w:rtl/>
        </w:rPr>
        <w:t>الجماعات. وج</w:t>
      </w:r>
      <w:r w:rsidRPr="00B20FA5">
        <w:rPr>
          <w:rFonts w:ascii="Simplified Arabic" w:hAnsi="Simplified Arabic" w:hint="eastAsia"/>
          <w:sz w:val="28"/>
          <w:szCs w:val="28"/>
          <w:rtl/>
        </w:rPr>
        <w:t>ه</w:t>
      </w:r>
      <w:r w:rsidRPr="00B20FA5">
        <w:rPr>
          <w:rFonts w:ascii="Simplified Arabic" w:hAnsi="Simplified Arabic"/>
          <w:sz w:val="28"/>
          <w:szCs w:val="28"/>
          <w:rtl/>
        </w:rPr>
        <w:t xml:space="preserve"> اهتماماته النظرية نحو دراسة نماذج التنظيم الاجتماعي والانثروبولوجيا الاقتصادية والتغيير الاجتماعي , فضلا عن إسهاماته النظرية المتعلقة </w:t>
      </w:r>
      <w:proofErr w:type="spellStart"/>
      <w:r w:rsidRPr="00B20FA5">
        <w:rPr>
          <w:rFonts w:ascii="Simplified Arabic" w:hAnsi="Simplified Arabic"/>
          <w:sz w:val="28"/>
          <w:szCs w:val="28"/>
          <w:rtl/>
        </w:rPr>
        <w:t>بالاثنيات</w:t>
      </w:r>
      <w:proofErr w:type="spellEnd"/>
      <w:r w:rsidRPr="00B20FA5">
        <w:rPr>
          <w:rFonts w:ascii="Simplified Arabic" w:hAnsi="Simplified Arabic"/>
          <w:sz w:val="28"/>
          <w:szCs w:val="28"/>
          <w:rtl/>
        </w:rPr>
        <w:t xml:space="preserve"> </w:t>
      </w:r>
      <w:r w:rsidRPr="00B20FA5">
        <w:rPr>
          <w:rFonts w:ascii="Simplified Arabic" w:hAnsi="Simplified Arabic"/>
          <w:sz w:val="28"/>
          <w:szCs w:val="28"/>
        </w:rPr>
        <w:t>Ethnicity</w:t>
      </w:r>
      <w:r w:rsidRPr="00B20FA5">
        <w:rPr>
          <w:rFonts w:ascii="Simplified Arabic" w:hAnsi="Simplified Arabic"/>
          <w:sz w:val="28"/>
          <w:szCs w:val="28"/>
          <w:rtl/>
        </w:rPr>
        <w:t xml:space="preserve"> </w:t>
      </w:r>
      <w:proofErr w:type="spellStart"/>
      <w:r w:rsidRPr="00B20FA5">
        <w:rPr>
          <w:rFonts w:ascii="Simplified Arabic" w:hAnsi="Simplified Arabic"/>
          <w:sz w:val="28"/>
          <w:szCs w:val="28"/>
          <w:rtl/>
        </w:rPr>
        <w:t>والميكانزمات</w:t>
      </w:r>
      <w:proofErr w:type="spellEnd"/>
      <w:r w:rsidRPr="00B20FA5">
        <w:rPr>
          <w:rFonts w:ascii="Simplified Arabic" w:hAnsi="Simplified Arabic"/>
          <w:sz w:val="28"/>
          <w:szCs w:val="28"/>
          <w:rtl/>
        </w:rPr>
        <w:t xml:space="preserve"> التي تحافظ على حدود الجماعات الاثنية المتنوعة,</w:t>
      </w:r>
      <w:r w:rsidRPr="00B20FA5">
        <w:rPr>
          <w:rFonts w:ascii="Simplified Arabic" w:hAnsi="Simplified Arabic"/>
          <w:sz w:val="28"/>
          <w:szCs w:val="28"/>
          <w:rtl/>
          <w:lang w:bidi="ar-SA"/>
        </w:rPr>
        <w:t xml:space="preserve"> يعمل حاليا استاذا محاضرا في جامعة</w:t>
      </w:r>
      <w:r w:rsidRPr="00B20FA5">
        <w:rPr>
          <w:rFonts w:ascii="Simplified Arabic" w:hAnsi="Simplified Arabic"/>
          <w:sz w:val="28"/>
          <w:szCs w:val="28"/>
        </w:rPr>
        <w:t>(Harvard)</w:t>
      </w:r>
      <w:r w:rsidRPr="00B20FA5">
        <w:rPr>
          <w:rFonts w:ascii="Simplified Arabic" w:hAnsi="Simplified Arabic"/>
          <w:sz w:val="28"/>
          <w:szCs w:val="28"/>
          <w:rtl/>
        </w:rPr>
        <w:t xml:space="preserve"> من أهم مؤلفاته : </w:t>
      </w:r>
    </w:p>
    <w:p w:rsidR="00927BB9" w:rsidRPr="00B20FA5" w:rsidRDefault="00927BB9" w:rsidP="00927BB9">
      <w:pPr>
        <w:pStyle w:val="1"/>
        <w:numPr>
          <w:ilvl w:val="0"/>
          <w:numId w:val="1"/>
        </w:numPr>
        <w:bidi w:val="0"/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0FA5">
        <w:rPr>
          <w:rFonts w:asciiTheme="majorBidi" w:hAnsiTheme="majorBidi" w:cstheme="majorBidi"/>
          <w:sz w:val="28"/>
          <w:szCs w:val="28"/>
        </w:rPr>
        <w:t>Anthropological models and social reality. 1966.</w:t>
      </w:r>
    </w:p>
    <w:p w:rsidR="00927BB9" w:rsidRPr="00B20FA5" w:rsidRDefault="00927BB9" w:rsidP="00927BB9">
      <w:pPr>
        <w:pStyle w:val="1"/>
        <w:numPr>
          <w:ilvl w:val="0"/>
          <w:numId w:val="1"/>
        </w:numPr>
        <w:bidi w:val="0"/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0FA5">
        <w:rPr>
          <w:rFonts w:asciiTheme="majorBidi" w:hAnsiTheme="majorBidi" w:cstheme="majorBidi"/>
          <w:sz w:val="28"/>
          <w:szCs w:val="28"/>
        </w:rPr>
        <w:t xml:space="preserve">Political leadership among the swat </w:t>
      </w:r>
      <w:proofErr w:type="spellStart"/>
      <w:r w:rsidRPr="00B20FA5">
        <w:rPr>
          <w:rFonts w:asciiTheme="majorBidi" w:hAnsiTheme="majorBidi" w:cstheme="majorBidi"/>
          <w:sz w:val="28"/>
          <w:szCs w:val="28"/>
        </w:rPr>
        <w:t>pathan</w:t>
      </w:r>
      <w:proofErr w:type="spellEnd"/>
      <w:r w:rsidRPr="00B20FA5">
        <w:rPr>
          <w:rFonts w:asciiTheme="majorBidi" w:hAnsiTheme="majorBidi" w:cstheme="majorBidi"/>
          <w:sz w:val="28"/>
          <w:szCs w:val="28"/>
        </w:rPr>
        <w:t xml:space="preserve"> . 1968.</w:t>
      </w:r>
    </w:p>
    <w:p w:rsidR="00927BB9" w:rsidRPr="00B20FA5" w:rsidRDefault="00927BB9" w:rsidP="00927BB9">
      <w:pPr>
        <w:pStyle w:val="1"/>
        <w:numPr>
          <w:ilvl w:val="0"/>
          <w:numId w:val="1"/>
        </w:numPr>
        <w:bidi w:val="0"/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0FA5">
        <w:rPr>
          <w:rFonts w:asciiTheme="majorBidi" w:hAnsiTheme="majorBidi" w:cstheme="majorBidi"/>
          <w:sz w:val="28"/>
          <w:szCs w:val="28"/>
        </w:rPr>
        <w:t>Ethnic groups and boundaries, 1969.</w:t>
      </w:r>
    </w:p>
    <w:p w:rsidR="00927BB9" w:rsidRPr="00B20FA5" w:rsidRDefault="00927BB9" w:rsidP="00927BB9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B20FA5">
        <w:rPr>
          <w:rFonts w:asciiTheme="majorBidi" w:hAnsiTheme="majorBidi" w:cstheme="majorBidi"/>
          <w:sz w:val="28"/>
          <w:szCs w:val="28"/>
        </w:rPr>
        <w:t>Sahar</w:t>
      </w:r>
      <w:proofErr w:type="spellEnd"/>
      <w:r w:rsidRPr="00B20FA5">
        <w:rPr>
          <w:rFonts w:asciiTheme="majorBidi" w:hAnsiTheme="majorBidi" w:cstheme="majorBidi"/>
          <w:sz w:val="28"/>
          <w:szCs w:val="28"/>
        </w:rPr>
        <w:t xml:space="preserve"> : culture and society in a </w:t>
      </w:r>
      <w:proofErr w:type="spellStart"/>
      <w:r w:rsidRPr="00B20FA5">
        <w:rPr>
          <w:rFonts w:asciiTheme="majorBidi" w:hAnsiTheme="majorBidi" w:cstheme="majorBidi"/>
          <w:sz w:val="28"/>
          <w:szCs w:val="28"/>
        </w:rPr>
        <w:t>omani</w:t>
      </w:r>
      <w:proofErr w:type="spellEnd"/>
      <w:r w:rsidRPr="00B20FA5">
        <w:rPr>
          <w:rFonts w:asciiTheme="majorBidi" w:hAnsiTheme="majorBidi" w:cstheme="majorBidi"/>
          <w:sz w:val="28"/>
          <w:szCs w:val="28"/>
        </w:rPr>
        <w:t xml:space="preserve"> town , 1983</w:t>
      </w:r>
    </w:p>
    <w:p w:rsidR="00927BB9" w:rsidRPr="00B20FA5" w:rsidRDefault="00927BB9" w:rsidP="00927BB9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</w:footnote>
  <w:footnote w:id="2">
    <w:p w:rsidR="00927BB9" w:rsidRPr="00B20FA5" w:rsidRDefault="00927BB9" w:rsidP="00927BB9">
      <w:pPr>
        <w:pStyle w:val="1"/>
        <w:bidi w:val="0"/>
        <w:spacing w:line="276" w:lineRule="auto"/>
        <w:ind w:left="567" w:hanging="567"/>
        <w:jc w:val="both"/>
        <w:rPr>
          <w:rFonts w:asciiTheme="majorBidi" w:hAnsiTheme="majorBidi" w:cstheme="majorBidi"/>
          <w:sz w:val="28"/>
          <w:szCs w:val="28"/>
        </w:rPr>
      </w:pPr>
      <w:r w:rsidRPr="00B20FA5">
        <w:rPr>
          <w:rStyle w:val="a4"/>
          <w:rFonts w:asciiTheme="majorBidi" w:hAnsiTheme="majorBidi" w:cstheme="majorBidi"/>
          <w:sz w:val="28"/>
          <w:szCs w:val="28"/>
          <w:rtl/>
        </w:rPr>
        <w:t>(1)</w:t>
      </w:r>
      <w:r w:rsidRPr="00B20FA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20FA5">
        <w:rPr>
          <w:rFonts w:asciiTheme="majorBidi" w:hAnsiTheme="majorBidi" w:cstheme="majorBidi"/>
          <w:sz w:val="28"/>
          <w:szCs w:val="28"/>
        </w:rPr>
        <w:t xml:space="preserve"> Fredrik </w:t>
      </w:r>
      <w:r w:rsidRPr="00B20FA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20FA5">
        <w:rPr>
          <w:rFonts w:asciiTheme="majorBidi" w:hAnsiTheme="majorBidi" w:cstheme="majorBidi"/>
          <w:sz w:val="28"/>
          <w:szCs w:val="28"/>
        </w:rPr>
        <w:t>Barth , process and from in social life: Rutledge and Regan Paul, London, 1981,P.32</w:t>
      </w:r>
    </w:p>
    <w:p w:rsidR="00927BB9" w:rsidRPr="00D30F1C" w:rsidRDefault="00927BB9" w:rsidP="00927BB9">
      <w:pPr>
        <w:pStyle w:val="a3"/>
        <w:bidi w:val="0"/>
        <w:rPr>
          <w:sz w:val="24"/>
          <w:szCs w:val="24"/>
        </w:rPr>
      </w:pPr>
    </w:p>
  </w:footnote>
  <w:footnote w:id="3">
    <w:p w:rsidR="00927BB9" w:rsidRPr="00F16DCF" w:rsidRDefault="00927BB9" w:rsidP="00927BB9">
      <w:pPr>
        <w:pStyle w:val="a3"/>
        <w:bidi w:val="0"/>
        <w:rPr>
          <w:sz w:val="28"/>
          <w:szCs w:val="28"/>
          <w:lang w:bidi="ar-IQ"/>
        </w:rPr>
      </w:pPr>
      <w:r w:rsidRPr="00F16DCF">
        <w:rPr>
          <w:rStyle w:val="a4"/>
          <w:sz w:val="28"/>
          <w:szCs w:val="28"/>
          <w:rtl/>
        </w:rPr>
        <w:t>(1)</w:t>
      </w:r>
      <w:r w:rsidRPr="00F16DCF">
        <w:rPr>
          <w:sz w:val="28"/>
          <w:szCs w:val="28"/>
          <w:rtl/>
        </w:rPr>
        <w:t xml:space="preserve"> </w:t>
      </w:r>
      <w:r w:rsidRPr="00F16DCF">
        <w:rPr>
          <w:sz w:val="28"/>
          <w:szCs w:val="28"/>
          <w:lang w:bidi="ar-IQ"/>
        </w:rPr>
        <w:t xml:space="preserve"> Ibid, P.34.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57A"/>
    <w:multiLevelType w:val="hybridMultilevel"/>
    <w:tmpl w:val="7638E7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B9"/>
    <w:rsid w:val="000C19A9"/>
    <w:rsid w:val="00927BB9"/>
    <w:rsid w:val="00CD0301"/>
    <w:rsid w:val="00E86280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B9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27BB9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27BB9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unhideWhenUsed/>
    <w:rsid w:val="00927BB9"/>
    <w:rPr>
      <w:vertAlign w:val="superscript"/>
    </w:rPr>
  </w:style>
  <w:style w:type="paragraph" w:customStyle="1" w:styleId="1">
    <w:name w:val="نمط1"/>
    <w:basedOn w:val="a"/>
    <w:rsid w:val="00927BB9"/>
    <w:rPr>
      <w:sz w:val="24"/>
      <w:szCs w:val="24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B9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27BB9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27BB9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unhideWhenUsed/>
    <w:rsid w:val="00927BB9"/>
    <w:rPr>
      <w:vertAlign w:val="superscript"/>
    </w:rPr>
  </w:style>
  <w:style w:type="paragraph" w:customStyle="1" w:styleId="1">
    <w:name w:val="نمط1"/>
    <w:basedOn w:val="a"/>
    <w:rsid w:val="00927BB9"/>
    <w:rPr>
      <w:sz w:val="24"/>
      <w:szCs w:val="24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SACC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2024-01-01T15:19:00Z</dcterms:created>
  <dcterms:modified xsi:type="dcterms:W3CDTF">2024-01-01T15:19:00Z</dcterms:modified>
</cp:coreProperties>
</file>