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1C1EA" w14:textId="07227C7F" w:rsidR="00E631FB" w:rsidRPr="00E631FB" w:rsidRDefault="00CA199C" w:rsidP="00CA199C">
      <w:pPr>
        <w:bidi w:val="0"/>
        <w:spacing w:line="25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Calibri" w:eastAsia="Calibri" w:hAnsi="Calibri" w:cs="Arial"/>
          <w:b/>
          <w:bCs/>
          <w:sz w:val="28"/>
          <w:szCs w:val="28"/>
          <w:lang w:bidi="ar-IQ"/>
        </w:rPr>
        <w:t xml:space="preserve">                   </w:t>
      </w:r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Mustansiriyh</w:t>
      </w:r>
      <w:proofErr w:type="spellEnd"/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="00E631FB"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03D8E2FC" w14:textId="50555355" w:rsidR="00E631FB" w:rsidRPr="00E631FB" w:rsidRDefault="00E631FB" w:rsidP="00E631FB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Examen</w:t>
      </w:r>
      <w:proofErr w:type="spellEnd"/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traduction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1</w:t>
      </w:r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</w:t>
      </w:r>
      <w:proofErr w:type="spellStart"/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Deuxième</w:t>
      </w:r>
      <w:proofErr w:type="spellEnd"/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  </w:t>
      </w:r>
    </w:p>
    <w:p w14:paraId="3E9A690C" w14:textId="3D9B0DE5" w:rsidR="00E631FB" w:rsidRPr="00E631FB" w:rsidRDefault="00E631FB" w:rsidP="00E21185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E631FB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E631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61F4EC12" w14:textId="231272A7" w:rsidR="00E631FB" w:rsidRDefault="00E631FB" w:rsidP="00E631FB">
      <w:pPr>
        <w:bidi w:val="0"/>
        <w:spacing w:line="252" w:lineRule="auto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u w:val="thick"/>
          <w:lang w:bidi="ar-IQ"/>
        </w:rPr>
        <w:t>Traduisez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u w:val="thick"/>
          <w:lang w:bidi="ar-IQ"/>
        </w:rPr>
        <w:t>arabe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u w:val="thick"/>
          <w:lang w:bidi="ar-IQ"/>
        </w:rPr>
        <w:t>!</w:t>
      </w:r>
    </w:p>
    <w:p w14:paraId="1D9733D1" w14:textId="45B5A72E" w:rsidR="00E631FB" w:rsidRPr="00F76E53" w:rsidRDefault="00E631FB" w:rsidP="00E631FB">
      <w:pPr>
        <w:bidi w:val="0"/>
        <w:spacing w:line="252" w:lineRule="auto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La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Banque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mondiale</w:t>
      </w:r>
      <w:proofErr w:type="spellEnd"/>
    </w:p>
    <w:p w14:paraId="66FD123D" w14:textId="2DA0CA0D" w:rsidR="00E631FB" w:rsidRPr="00F76E53" w:rsidRDefault="00E631FB" w:rsidP="00E631FB">
      <w:pPr>
        <w:bidi w:val="0"/>
        <w:spacing w:line="252" w:lineRule="auto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La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Banque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mondiale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décidé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lundi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6 mars de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suspendre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son cadre de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partenariat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avec la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Tunisie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après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une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montée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des exactions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contre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migrants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africains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pays à la suite d'un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discours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incendiaire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président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Kaïs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Saïed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sur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l'immigration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illégale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Le pays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est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déja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englué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une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grave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crise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financière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Des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produits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tunisiens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sont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également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boycottés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sur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contin</w:t>
      </w:r>
      <w:r w:rsidR="00DB339F"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ent </w:t>
      </w:r>
      <w:proofErr w:type="spellStart"/>
      <w:r w:rsidR="00DB339F"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africain</w:t>
      </w:r>
      <w:proofErr w:type="spellEnd"/>
      <w:r w:rsidR="00DB339F"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.</w:t>
      </w:r>
    </w:p>
    <w:p w14:paraId="12C57EB8" w14:textId="749094C4" w:rsidR="00E21185" w:rsidRPr="00F76E53" w:rsidRDefault="009A56EB" w:rsidP="00F76E53">
      <w:pPr>
        <w:bidi w:val="0"/>
        <w:spacing w:line="252" w:lineRule="auto"/>
        <w:jc w:val="both"/>
        <w:rPr>
          <w:rFonts w:ascii="Calibri" w:eastAsia="Calibri" w:hAnsi="Calibri" w:cs="Arial" w:hint="cs"/>
          <w:b/>
          <w:bCs/>
          <w:sz w:val="24"/>
          <w:szCs w:val="24"/>
          <w:lang w:bidi="ar-IQ"/>
        </w:rPr>
      </w:pP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suspendre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son cadre de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partenariat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تعليق اطار شراكته</w:t>
      </w:r>
      <w:r w:rsidR="007751F0"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 </w:t>
      </w:r>
      <w:r w:rsidR="007751F0"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des exactions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contre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migrants </w:t>
      </w:r>
      <w:r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ضد المهاجرين</w:t>
      </w:r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="007751F0"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تزايد الانتهاكات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discours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incendiaire</w:t>
      </w:r>
      <w:proofErr w:type="spellEnd"/>
      <w:r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خطاب تحريضي </w:t>
      </w:r>
      <w:r w:rsidR="007751F0"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="007751F0"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englu</w:t>
      </w:r>
      <w:r w:rsidRPr="00F76E53">
        <w:rPr>
          <w:rFonts w:ascii="Arial" w:eastAsia="Calibri" w:hAnsi="Arial" w:cs="Arial"/>
          <w:b/>
          <w:bCs/>
          <w:sz w:val="24"/>
          <w:szCs w:val="24"/>
          <w:lang w:bidi="ar-IQ"/>
        </w:rPr>
        <w:t>é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="007751F0"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</w:t>
      </w:r>
      <w:r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غارق</w:t>
      </w:r>
      <w:r w:rsidR="007751F0"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</w:t>
      </w:r>
      <w:r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في</w:t>
      </w:r>
      <w:r w:rsidR="007751F0"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 </w:t>
      </w:r>
      <w:r w:rsidR="007751F0"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،</w:t>
      </w:r>
      <w:proofErr w:type="spellStart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>boycottés</w:t>
      </w:r>
      <w:proofErr w:type="spellEnd"/>
      <w:r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="007751F0"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مق</w:t>
      </w:r>
      <w:r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اطعة</w:t>
      </w:r>
      <w:r w:rsidR="00B03C8F"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="00B03C8F"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="00B03C8F"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continent</w:t>
      </w:r>
      <w:r w:rsidR="009E6B1D" w:rsidRPr="00F76E53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="009E6B1D" w:rsidRPr="00F76E5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قارة</w:t>
      </w:r>
    </w:p>
    <w:p w14:paraId="5E5B65DD" w14:textId="02949758" w:rsidR="00DB339F" w:rsidRPr="00F76E53" w:rsidRDefault="00B92753" w:rsidP="00DB339F">
      <w:pPr>
        <w:spacing w:line="252" w:lineRule="auto"/>
        <w:jc w:val="both"/>
        <w:rPr>
          <w:rFonts w:eastAsia="Calibri" w:cstheme="minorHAnsi"/>
          <w:b/>
          <w:bCs/>
          <w:sz w:val="24"/>
          <w:szCs w:val="24"/>
          <w:rtl/>
          <w:lang w:bidi="ar-IQ"/>
        </w:rPr>
      </w:pPr>
      <w:r w:rsidRPr="00F76E53">
        <w:rPr>
          <w:rFonts w:eastAsia="Calibri" w:cstheme="minorHAnsi"/>
          <w:b/>
          <w:bCs/>
          <w:sz w:val="24"/>
          <w:szCs w:val="24"/>
          <w:lang w:bidi="ar-IQ"/>
        </w:rPr>
        <w:t xml:space="preserve"> </w:t>
      </w:r>
      <w:r w:rsidR="00DB339F" w:rsidRPr="00F76E53">
        <w:rPr>
          <w:rFonts w:eastAsia="Calibri" w:cstheme="minorHAnsi"/>
          <w:b/>
          <w:bCs/>
          <w:sz w:val="24"/>
          <w:szCs w:val="24"/>
          <w:rtl/>
          <w:lang w:bidi="ar"/>
        </w:rPr>
        <w:t>البنك ال</w:t>
      </w:r>
      <w:r w:rsidR="00DB339F" w:rsidRPr="00F76E53">
        <w:rPr>
          <w:rFonts w:eastAsia="Calibri" w:cstheme="minorHAnsi" w:hint="cs"/>
          <w:b/>
          <w:bCs/>
          <w:sz w:val="24"/>
          <w:szCs w:val="24"/>
          <w:rtl/>
          <w:lang w:bidi="ar"/>
        </w:rPr>
        <w:t>دولي</w:t>
      </w:r>
    </w:p>
    <w:p w14:paraId="735FBBEE" w14:textId="5D67B7DA" w:rsidR="00DB339F" w:rsidRPr="00F76E53" w:rsidRDefault="007751F0" w:rsidP="007751F0">
      <w:pPr>
        <w:spacing w:line="252" w:lineRule="auto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  <w:rtl/>
          <w:lang w:bidi="ar-IQ"/>
        </w:rPr>
      </w:pPr>
      <w:r w:rsidRPr="00F76E53">
        <w:rPr>
          <w:rFonts w:eastAsia="Calibri" w:cstheme="minorHAnsi"/>
          <w:b/>
          <w:bCs/>
          <w:sz w:val="24"/>
          <w:szCs w:val="24"/>
          <w:rtl/>
          <w:lang w:bidi="ar"/>
        </w:rPr>
        <w:t xml:space="preserve">قرر البنك الدولي يوم </w:t>
      </w:r>
      <w:proofErr w:type="spellStart"/>
      <w:r w:rsidRPr="00F76E53">
        <w:rPr>
          <w:rFonts w:eastAsia="Calibri" w:cstheme="minorHAnsi"/>
          <w:b/>
          <w:bCs/>
          <w:sz w:val="24"/>
          <w:szCs w:val="24"/>
          <w:rtl/>
          <w:lang w:bidi="ar"/>
        </w:rPr>
        <w:t>الإثنين</w:t>
      </w:r>
      <w:proofErr w:type="spellEnd"/>
      <w:r w:rsidRPr="00F76E53">
        <w:rPr>
          <w:rFonts w:eastAsia="Calibri" w:cstheme="minorHAnsi"/>
          <w:b/>
          <w:bCs/>
          <w:sz w:val="24"/>
          <w:szCs w:val="24"/>
          <w:rtl/>
          <w:lang w:bidi="ar"/>
        </w:rPr>
        <w:t xml:space="preserve"> </w:t>
      </w:r>
      <w:r w:rsidRPr="00F76E53">
        <w:rPr>
          <w:rFonts w:eastAsia="Calibri" w:cstheme="minorHAnsi" w:hint="cs"/>
          <w:b/>
          <w:bCs/>
          <w:sz w:val="24"/>
          <w:szCs w:val="24"/>
          <w:rtl/>
          <w:lang w:bidi="ar"/>
        </w:rPr>
        <w:t xml:space="preserve"> 6</w:t>
      </w:r>
      <w:r w:rsidR="00DB339F" w:rsidRPr="00F76E53">
        <w:rPr>
          <w:rFonts w:eastAsia="Calibri" w:cstheme="minorHAnsi"/>
          <w:b/>
          <w:bCs/>
          <w:sz w:val="24"/>
          <w:szCs w:val="24"/>
          <w:rtl/>
          <w:lang w:bidi="ar"/>
        </w:rPr>
        <w:t>مارس</w:t>
      </w:r>
      <w:r w:rsidRPr="00F76E53">
        <w:rPr>
          <w:rFonts w:eastAsia="Calibri" w:cstheme="minorHAnsi" w:hint="cs"/>
          <w:b/>
          <w:bCs/>
          <w:sz w:val="24"/>
          <w:szCs w:val="24"/>
          <w:rtl/>
          <w:lang w:bidi="ar"/>
        </w:rPr>
        <w:t xml:space="preserve"> </w:t>
      </w:r>
      <w:r w:rsidR="00DB339F" w:rsidRPr="00F76E53">
        <w:rPr>
          <w:rFonts w:eastAsia="Calibri" w:cstheme="minorHAnsi"/>
          <w:b/>
          <w:bCs/>
          <w:sz w:val="24"/>
          <w:szCs w:val="24"/>
          <w:rtl/>
          <w:lang w:bidi="ar"/>
        </w:rPr>
        <w:t xml:space="preserve">تعليق إطار شراكته مع تونس بعد تزايد الانتهاكات ضد المهاجرين </w:t>
      </w:r>
      <w:proofErr w:type="spellStart"/>
      <w:r w:rsidR="00DB339F" w:rsidRPr="00F76E53">
        <w:rPr>
          <w:rFonts w:eastAsia="Calibri" w:cstheme="minorHAnsi"/>
          <w:b/>
          <w:bCs/>
          <w:sz w:val="24"/>
          <w:szCs w:val="24"/>
          <w:rtl/>
          <w:lang w:bidi="ar"/>
        </w:rPr>
        <w:t>الأفارقة</w:t>
      </w:r>
      <w:proofErr w:type="spellEnd"/>
      <w:r w:rsidR="00DB339F" w:rsidRPr="00F76E53">
        <w:rPr>
          <w:rFonts w:eastAsia="Calibri" w:cstheme="minorHAnsi"/>
          <w:b/>
          <w:bCs/>
          <w:sz w:val="24"/>
          <w:szCs w:val="24"/>
          <w:rtl/>
          <w:lang w:bidi="ar"/>
        </w:rPr>
        <w:t xml:space="preserve"> في البلاد بعد خطاب تحريضي للرئيس قيس سعيد حول الهجرة غير الشرعية. </w:t>
      </w:r>
      <w:r w:rsidR="00DB339F" w:rsidRPr="00F76E53">
        <w:rPr>
          <w:rFonts w:eastAsia="Calibri" w:cstheme="minorHAnsi" w:hint="cs"/>
          <w:b/>
          <w:bCs/>
          <w:sz w:val="24"/>
          <w:szCs w:val="24"/>
          <w:rtl/>
          <w:lang w:bidi="ar"/>
        </w:rPr>
        <w:t>ف</w:t>
      </w:r>
      <w:r w:rsidR="00DB339F" w:rsidRPr="00F76E53">
        <w:rPr>
          <w:rFonts w:eastAsia="Calibri" w:cstheme="minorHAnsi"/>
          <w:b/>
          <w:bCs/>
          <w:sz w:val="24"/>
          <w:szCs w:val="24"/>
          <w:rtl/>
          <w:lang w:bidi="ar"/>
        </w:rPr>
        <w:t xml:space="preserve">البلد غارق بالفعل في أزمة مالية خطيرة. كما يتم مقاطعة المنتجات التونسية في القارة الأفريقية </w:t>
      </w:r>
      <w:r w:rsidR="00DB339F" w:rsidRPr="00F76E53">
        <w:rPr>
          <w:rFonts w:eastAsia="Calibri" w:cstheme="minorHAnsi" w:hint="cs"/>
          <w:b/>
          <w:bCs/>
          <w:sz w:val="24"/>
          <w:szCs w:val="24"/>
          <w:rtl/>
          <w:lang w:bidi="ar"/>
        </w:rPr>
        <w:t>.</w:t>
      </w:r>
    </w:p>
    <w:p w14:paraId="3DBF6808" w14:textId="62E63570" w:rsidR="00B92753" w:rsidRPr="00F76E53" w:rsidRDefault="00B92753" w:rsidP="00DB339F">
      <w:pPr>
        <w:spacing w:line="252" w:lineRule="auto"/>
        <w:rPr>
          <w:rFonts w:ascii="Calibri" w:eastAsia="Calibri" w:hAnsi="Calibri" w:cs="Calibri"/>
          <w:b/>
          <w:bCs/>
          <w:sz w:val="24"/>
          <w:szCs w:val="24"/>
          <w:u w:val="thick"/>
          <w:rtl/>
          <w:lang w:bidi="ar-IQ"/>
        </w:rPr>
      </w:pPr>
      <w:r w:rsidRPr="00F76E53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 xml:space="preserve">                           </w:t>
      </w:r>
      <w:r w:rsidR="00A155AB" w:rsidRPr="00F76E53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 xml:space="preserve">                               </w:t>
      </w:r>
      <w:bookmarkStart w:id="0" w:name="_GoBack"/>
      <w:bookmarkEnd w:id="0"/>
    </w:p>
    <w:p w14:paraId="143D86E0" w14:textId="77777777" w:rsidR="00D3305B" w:rsidRPr="00F32AEC" w:rsidRDefault="00D3305B" w:rsidP="00D3305B">
      <w:pPr>
        <w:bidi w:val="0"/>
        <w:jc w:val="right"/>
        <w:rPr>
          <w:sz w:val="28"/>
          <w:szCs w:val="28"/>
          <w:lang w:bidi="ar-IQ"/>
        </w:rPr>
      </w:pPr>
    </w:p>
    <w:sectPr w:rsidR="00D3305B" w:rsidRPr="00F32AEC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37C6E"/>
    <w:multiLevelType w:val="hybridMultilevel"/>
    <w:tmpl w:val="636CB564"/>
    <w:lvl w:ilvl="0" w:tplc="61B603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87522"/>
    <w:rsid w:val="000E2BB8"/>
    <w:rsid w:val="002B478D"/>
    <w:rsid w:val="00316F21"/>
    <w:rsid w:val="00453382"/>
    <w:rsid w:val="0046123C"/>
    <w:rsid w:val="00503D53"/>
    <w:rsid w:val="005711D3"/>
    <w:rsid w:val="006377F7"/>
    <w:rsid w:val="006671B7"/>
    <w:rsid w:val="007751F0"/>
    <w:rsid w:val="00780DC9"/>
    <w:rsid w:val="007D3651"/>
    <w:rsid w:val="008F414A"/>
    <w:rsid w:val="0094121A"/>
    <w:rsid w:val="009A56EB"/>
    <w:rsid w:val="009D357F"/>
    <w:rsid w:val="009E6B1D"/>
    <w:rsid w:val="00A155AB"/>
    <w:rsid w:val="00B03C8F"/>
    <w:rsid w:val="00B92753"/>
    <w:rsid w:val="00CA199C"/>
    <w:rsid w:val="00CF1864"/>
    <w:rsid w:val="00CF2716"/>
    <w:rsid w:val="00D3305B"/>
    <w:rsid w:val="00DB339F"/>
    <w:rsid w:val="00E21185"/>
    <w:rsid w:val="00E631FB"/>
    <w:rsid w:val="00F32AEC"/>
    <w:rsid w:val="00F4082E"/>
    <w:rsid w:val="00F66E8E"/>
    <w:rsid w:val="00F76E53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631FB"/>
    <w:rPr>
      <w:color w:val="0563C1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DB33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B339F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631FB"/>
    <w:rPr>
      <w:color w:val="0563C1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DB33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B339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7041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0748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2023-03-16T07:05:00Z</cp:lastPrinted>
  <dcterms:created xsi:type="dcterms:W3CDTF">2023-03-10T10:49:00Z</dcterms:created>
  <dcterms:modified xsi:type="dcterms:W3CDTF">2023-03-26T08:04:00Z</dcterms:modified>
</cp:coreProperties>
</file>