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2823C" w14:textId="4B5AA00A" w:rsidR="0061161A" w:rsidRPr="0061161A" w:rsidRDefault="0061161A" w:rsidP="0061161A">
      <w:pPr>
        <w:bidi w:val="0"/>
        <w:spacing w:line="256" w:lineRule="auto"/>
        <w:jc w:val="center"/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</w:pPr>
      <w:r w:rsidRPr="0061161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(</w:t>
      </w:r>
      <w:r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2</w:t>
      </w:r>
      <w:r w:rsidRPr="0061161A">
        <w:rPr>
          <w:rFonts w:ascii="Calibri" w:eastAsia="Calibri" w:hAnsi="Calibri" w:cs="Arial"/>
          <w:b/>
          <w:bCs/>
          <w:i/>
          <w:iCs/>
          <w:sz w:val="28"/>
          <w:szCs w:val="28"/>
          <w:lang w:bidi="ar-IQ"/>
        </w:rPr>
        <w:t>)</w:t>
      </w:r>
    </w:p>
    <w:p w14:paraId="27EB2857" w14:textId="70DE40DC" w:rsidR="0061161A" w:rsidRPr="0061161A" w:rsidRDefault="00B9007B" w:rsidP="0061161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Univ. Al-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Mustansiriyh</w:t>
      </w:r>
      <w:proofErr w:type="spellEnd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Faculté</w:t>
      </w:r>
      <w:proofErr w:type="spellEnd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des </w:t>
      </w:r>
      <w:proofErr w:type="spellStart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lettres</w:t>
      </w:r>
      <w:proofErr w:type="spellEnd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</w:t>
      </w:r>
      <w:proofErr w:type="spellStart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Dép</w:t>
      </w:r>
      <w:proofErr w:type="spellEnd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. du </w:t>
      </w:r>
      <w:proofErr w:type="spellStart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franϛais</w:t>
      </w:r>
      <w:proofErr w:type="spellEnd"/>
      <w:r w:rsidR="0061161A"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.</w:t>
      </w:r>
    </w:p>
    <w:p w14:paraId="037764B4" w14:textId="77777777" w:rsidR="0061161A" w:rsidRPr="0061161A" w:rsidRDefault="0061161A" w:rsidP="0061161A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Cours</w:t>
      </w:r>
      <w:proofErr w:type="spellEnd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de </w:t>
      </w:r>
      <w:proofErr w:type="spellStart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traduction</w:t>
      </w:r>
      <w:proofErr w:type="spellEnd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( 3°année). Première session 2022.2023  </w:t>
      </w:r>
    </w:p>
    <w:p w14:paraId="06B4A30B" w14:textId="40F4AED2" w:rsidR="0061161A" w:rsidRDefault="0061161A" w:rsidP="00B9007B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  <w:proofErr w:type="spellStart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Enseignant</w:t>
      </w:r>
      <w:proofErr w:type="spellEnd"/>
      <w:r w:rsidRPr="0061161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r w:rsidRPr="0061161A">
        <w:rPr>
          <w:rFonts w:ascii="Times New Roman" w:eastAsia="Calibri" w:hAnsi="Times New Roman" w:cs="Times New Roman" w:hint="cs"/>
          <w:b/>
          <w:bCs/>
          <w:i/>
          <w:iCs/>
          <w:sz w:val="24"/>
          <w:szCs w:val="24"/>
          <w:rtl/>
          <w:lang w:bidi="ar-IQ"/>
        </w:rPr>
        <w:t>/</w:t>
      </w:r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Dheyaa</w:t>
      </w:r>
      <w:proofErr w:type="spellEnd"/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Mejbel</w:t>
      </w:r>
      <w:proofErr w:type="spellEnd"/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 xml:space="preserve"> </w:t>
      </w:r>
      <w:proofErr w:type="spellStart"/>
      <w:r w:rsidR="00B9007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  <w:t>Jaber</w:t>
      </w:r>
      <w:proofErr w:type="spellEnd"/>
    </w:p>
    <w:p w14:paraId="224C8E9A" w14:textId="77777777" w:rsidR="00C51F8E" w:rsidRDefault="00C51F8E" w:rsidP="00C51F8E">
      <w:pPr>
        <w:bidi w:val="0"/>
        <w:spacing w:line="25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IQ"/>
        </w:rPr>
      </w:pPr>
    </w:p>
    <w:p w14:paraId="6E075FD1" w14:textId="107DE058" w:rsidR="00C51F8E" w:rsidRDefault="00B9007B" w:rsidP="00B9007B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  <w:proofErr w:type="spellStart"/>
      <w:r w:rsidRPr="00B9007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Traduisez</w:t>
      </w:r>
      <w:proofErr w:type="spellEnd"/>
      <w:r w:rsidRPr="00B9007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 xml:space="preserve"> en </w:t>
      </w:r>
      <w:proofErr w:type="spellStart"/>
      <w:r w:rsidRPr="00B9007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arabe</w:t>
      </w:r>
      <w:proofErr w:type="spellEnd"/>
      <w:r w:rsidRPr="00B9007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  <w:t>!</w:t>
      </w:r>
    </w:p>
    <w:p w14:paraId="77936D99" w14:textId="77777777" w:rsidR="00B9007B" w:rsidRPr="00B9007B" w:rsidRDefault="00B9007B" w:rsidP="00B9007B">
      <w:pPr>
        <w:bidi w:val="0"/>
        <w:spacing w:line="256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thick"/>
          <w:lang w:bidi="ar-IQ"/>
        </w:rPr>
      </w:pPr>
    </w:p>
    <w:p w14:paraId="09A3669E" w14:textId="77777777" w:rsidR="0061161A" w:rsidRPr="0061161A" w:rsidRDefault="0061161A" w:rsidP="0061161A">
      <w:pPr>
        <w:bidi w:val="0"/>
        <w:ind w:left="360"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Monsieur le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professeur</w:t>
      </w:r>
      <w:proofErr w:type="spellEnd"/>
    </w:p>
    <w:p w14:paraId="54DB0F91" w14:textId="384448EF" w:rsidR="00086E51" w:rsidRDefault="0061161A" w:rsidP="00C00B97">
      <w:pPr>
        <w:bidi w:val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do</w:t>
      </w:r>
      <w:r w:rsidR="00561A9B">
        <w:rPr>
          <w:rFonts w:ascii="Calibri" w:eastAsia="Calibri" w:hAnsi="Calibri" w:cs="Arial"/>
          <w:b/>
          <w:bCs/>
          <w:sz w:val="24"/>
          <w:szCs w:val="24"/>
          <w:lang w:bidi="ar-IQ"/>
        </w:rPr>
        <w:t>maine</w:t>
      </w:r>
      <w:proofErr w:type="spellEnd"/>
      <w:r w:rsidR="00561A9B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 </w:t>
      </w:r>
      <w:proofErr w:type="spellStart"/>
      <w:r w:rsidR="00561A9B">
        <w:rPr>
          <w:rFonts w:ascii="Calibri" w:eastAsia="Calibri" w:hAnsi="Calibri" w:cs="Arial"/>
          <w:b/>
          <w:bCs/>
          <w:sz w:val="24"/>
          <w:szCs w:val="24"/>
          <w:lang w:bidi="ar-IQ"/>
        </w:rPr>
        <w:t>l'enseignement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,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il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tait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 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professeur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 de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droit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international public et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privé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de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droit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pénal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plusieurs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universités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centres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universitaires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spécialisés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Pérou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 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professeur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invité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dans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des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universités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d'Amérique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Nord,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d'Amérique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centrale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et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d'Europe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. Il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est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le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professeur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Teo</w:t>
      </w:r>
      <w:proofErr w:type="spellEnd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Van </w:t>
      </w:r>
      <w:proofErr w:type="spellStart"/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Bovin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.</w:t>
      </w:r>
    </w:p>
    <w:p w14:paraId="5E9949F4" w14:textId="77777777" w:rsidR="00052454" w:rsidRDefault="00052454" w:rsidP="00052454">
      <w:pPr>
        <w:bidi w:val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bookmarkStart w:id="0" w:name="_GoBack"/>
      <w:bookmarkEnd w:id="0"/>
    </w:p>
    <w:p w14:paraId="72F11A9E" w14:textId="33721A8A" w:rsidR="00086E51" w:rsidRDefault="00086E51" w:rsidP="00086E51">
      <w:pPr>
        <w:bidi w:val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  <w:proofErr w:type="spellStart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>l'enseignement</w:t>
      </w:r>
      <w:proofErr w:type="spellEnd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du </w:t>
      </w:r>
      <w:proofErr w:type="spellStart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>droit</w:t>
      </w:r>
      <w:proofErr w:type="spellEnd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international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 تعليم القانون الدولي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>droit</w:t>
      </w:r>
      <w:proofErr w:type="spellEnd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="00D11957">
        <w:rPr>
          <w:rFonts w:ascii="Calibri" w:eastAsia="Calibri" w:hAnsi="Calibri" w:cs="Arial"/>
          <w:b/>
          <w:bCs/>
          <w:sz w:val="24"/>
          <w:szCs w:val="24"/>
          <w:lang w:bidi="ar-IQ"/>
        </w:rPr>
        <w:t>p</w:t>
      </w:r>
      <w:r w:rsidR="00D11957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>nal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قانون جنائي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،</w:t>
      </w:r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>professeur</w:t>
      </w:r>
      <w:proofErr w:type="spellEnd"/>
      <w:r w:rsidRPr="00086E51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proofErr w:type="spellStart"/>
      <w:r w:rsidR="00D11957">
        <w:rPr>
          <w:rFonts w:ascii="Calibri" w:eastAsia="Calibri" w:hAnsi="Calibri" w:cs="Arial"/>
          <w:b/>
          <w:bCs/>
          <w:sz w:val="24"/>
          <w:szCs w:val="24"/>
          <w:lang w:bidi="ar-IQ"/>
        </w:rPr>
        <w:t>invit</w:t>
      </w:r>
      <w:r w:rsidR="00D11957">
        <w:rPr>
          <w:rFonts w:ascii="Arial" w:eastAsia="Calibri" w:hAnsi="Arial" w:cs="Arial"/>
          <w:b/>
          <w:bCs/>
          <w:sz w:val="24"/>
          <w:szCs w:val="24"/>
          <w:lang w:bidi="ar-IQ"/>
        </w:rPr>
        <w:t>é</w:t>
      </w:r>
      <w:proofErr w:type="spellEnd"/>
      <w:r>
        <w:rPr>
          <w:rFonts w:ascii="Calibri" w:eastAsia="Calibri" w:hAnsi="Calibri" w:cs="Arial"/>
          <w:b/>
          <w:bCs/>
          <w:sz w:val="24"/>
          <w:szCs w:val="24"/>
          <w:lang w:bidi="ar-IQ"/>
        </w:rPr>
        <w:t xml:space="preserve"> </w:t>
      </w:r>
      <w:r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أستاذ زائر</w:t>
      </w:r>
    </w:p>
    <w:p w14:paraId="04742A9D" w14:textId="77777777" w:rsidR="00B9007B" w:rsidRDefault="00B9007B" w:rsidP="00B9007B">
      <w:pPr>
        <w:bidi w:val="0"/>
        <w:contextualSpacing/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</w:p>
    <w:p w14:paraId="26D68D8A" w14:textId="1000A986" w:rsidR="00B9007B" w:rsidRPr="0061161A" w:rsidRDefault="0061161A" w:rsidP="00B9007B">
      <w:pPr>
        <w:bidi w:val="0"/>
        <w:ind w:left="720"/>
        <w:contextualSpacing/>
        <w:jc w:val="right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السيد </w:t>
      </w:r>
      <w:r w:rsidR="00B9007B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الأستاذ</w:t>
      </w:r>
    </w:p>
    <w:p w14:paraId="5ADF963D" w14:textId="70356CE5" w:rsidR="00B9007B" w:rsidRPr="00C00B97" w:rsidRDefault="0061161A" w:rsidP="00B9007B">
      <w:pPr>
        <w:jc w:val="both"/>
        <w:rPr>
          <w:rFonts w:ascii="Calibri" w:eastAsia="Calibri" w:hAnsi="Calibri" w:cs="Arial"/>
          <w:b/>
          <w:bCs/>
          <w:sz w:val="24"/>
          <w:szCs w:val="24"/>
          <w:rtl/>
          <w:lang w:bidi="ar-IQ"/>
        </w:rPr>
      </w:pP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>على صعيد ال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تعليم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 xml:space="preserve">، 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كان</w:t>
      </w:r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>أستاذا</w:t>
      </w:r>
      <w:r w:rsidRPr="0061161A">
        <w:rPr>
          <w:rFonts w:ascii="Calibri" w:eastAsia="Calibri" w:hAnsi="Calibri" w:cs="Arial"/>
          <w:b/>
          <w:bCs/>
          <w:sz w:val="24"/>
          <w:szCs w:val="24"/>
          <w:lang w:bidi="ar-IQ"/>
        </w:rPr>
        <w:t> 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 xml:space="preserve">للقانون الدولي العام والخاص والقانون الجنائي في 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العديد من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 xml:space="preserve"> 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ال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 xml:space="preserve">جامعات 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و</w:t>
      </w:r>
      <w:r w:rsidR="00C51F8E">
        <w:rPr>
          <w:rFonts w:ascii="Calibri" w:eastAsia="Calibri" w:hAnsi="Calibri" w:cs="Arial" w:hint="cs"/>
          <w:b/>
          <w:bCs/>
          <w:sz w:val="24"/>
          <w:szCs w:val="24"/>
          <w:rtl/>
        </w:rPr>
        <w:t>مراكز الجامعات المتخصصة في بيرو</w:t>
      </w:r>
      <w:r w:rsidRPr="0061161A">
        <w:rPr>
          <w:rFonts w:ascii="Calibri" w:eastAsia="Calibri" w:hAnsi="Calibri" w:cs="Arial"/>
          <w:b/>
          <w:bCs/>
          <w:sz w:val="24"/>
          <w:szCs w:val="24"/>
          <w:rtl/>
        </w:rPr>
        <w:t>، وكأستاذ زائر في جامعات أمريكا الشمالية والوسطى وأوروبا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</w:rPr>
        <w:t>.</w:t>
      </w:r>
      <w:r w:rsidRPr="0061161A">
        <w:rPr>
          <w:rFonts w:ascii="Calibri" w:eastAsia="Calibri" w:hAnsi="Calibri" w:cs="Arial"/>
          <w:b/>
          <w:bCs/>
          <w:sz w:val="24"/>
          <w:szCs w:val="24"/>
          <w:vertAlign w:val="subscript"/>
        </w:rPr>
        <w:t xml:space="preserve"> </w:t>
      </w:r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انه </w:t>
      </w:r>
      <w:proofErr w:type="spellStart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الاستاد</w:t>
      </w:r>
      <w:proofErr w:type="spellEnd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</w:t>
      </w:r>
      <w:proofErr w:type="spellStart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تيو</w:t>
      </w:r>
      <w:proofErr w:type="spellEnd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 xml:space="preserve"> فان </w:t>
      </w:r>
      <w:proofErr w:type="spellStart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بوفان</w:t>
      </w:r>
      <w:proofErr w:type="spellEnd"/>
      <w:r w:rsidRPr="0061161A">
        <w:rPr>
          <w:rFonts w:ascii="Calibri" w:eastAsia="Calibri" w:hAnsi="Calibri" w:cs="Arial" w:hint="cs"/>
          <w:b/>
          <w:bCs/>
          <w:sz w:val="24"/>
          <w:szCs w:val="24"/>
          <w:rtl/>
          <w:lang w:bidi="ar-IQ"/>
        </w:rPr>
        <w:t>.</w:t>
      </w:r>
    </w:p>
    <w:p w14:paraId="0FBDCD55" w14:textId="578EB690" w:rsidR="00281290" w:rsidRPr="00C00B97" w:rsidRDefault="00281290" w:rsidP="00C00B97">
      <w:pPr>
        <w:jc w:val="both"/>
        <w:rPr>
          <w:rFonts w:ascii="Calibri" w:eastAsia="Calibri" w:hAnsi="Calibri" w:cs="Arial"/>
          <w:b/>
          <w:bCs/>
          <w:sz w:val="24"/>
          <w:szCs w:val="24"/>
          <w:lang w:bidi="ar-IQ"/>
        </w:rPr>
      </w:pPr>
    </w:p>
    <w:sectPr w:rsidR="00281290" w:rsidRPr="00C00B97" w:rsidSect="002B47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1A7"/>
    <w:multiLevelType w:val="hybridMultilevel"/>
    <w:tmpl w:val="B9DCC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14C2"/>
    <w:multiLevelType w:val="hybridMultilevel"/>
    <w:tmpl w:val="5D307262"/>
    <w:lvl w:ilvl="0" w:tplc="2C7047D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6D09960">
      <w:start w:val="1"/>
      <w:numFmt w:val="decimal"/>
      <w:lvlText w:val="%4."/>
      <w:lvlJc w:val="left"/>
      <w:pPr>
        <w:ind w:left="1636" w:hanging="360"/>
      </w:pPr>
      <w:rPr>
        <w:rFonts w:asciiTheme="minorHAnsi" w:eastAsiaTheme="minorHAnsi" w:hAnsiTheme="minorHAnsi" w:cstheme="minorBidi"/>
        <w:b/>
        <w:bCs/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2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DC9"/>
    <w:rsid w:val="00052454"/>
    <w:rsid w:val="00086E51"/>
    <w:rsid w:val="00087522"/>
    <w:rsid w:val="000E2BB8"/>
    <w:rsid w:val="00281290"/>
    <w:rsid w:val="002B478D"/>
    <w:rsid w:val="00316F21"/>
    <w:rsid w:val="0046123C"/>
    <w:rsid w:val="00561A9B"/>
    <w:rsid w:val="005711D3"/>
    <w:rsid w:val="0061161A"/>
    <w:rsid w:val="006377F7"/>
    <w:rsid w:val="00780DC9"/>
    <w:rsid w:val="007D3651"/>
    <w:rsid w:val="008F414A"/>
    <w:rsid w:val="0094121A"/>
    <w:rsid w:val="009A549F"/>
    <w:rsid w:val="00AF7A2A"/>
    <w:rsid w:val="00B9007B"/>
    <w:rsid w:val="00C00B97"/>
    <w:rsid w:val="00C51F8E"/>
    <w:rsid w:val="00CF1864"/>
    <w:rsid w:val="00CF2716"/>
    <w:rsid w:val="00D11957"/>
    <w:rsid w:val="00D3305B"/>
    <w:rsid w:val="00F32AEC"/>
    <w:rsid w:val="00F4082E"/>
    <w:rsid w:val="00F66E8E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CBD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78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6123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123C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2B4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6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1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5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cp:lastPrinted>2020-04-26T20:15:00Z</cp:lastPrinted>
  <dcterms:created xsi:type="dcterms:W3CDTF">2022-10-13T08:23:00Z</dcterms:created>
  <dcterms:modified xsi:type="dcterms:W3CDTF">2022-10-28T15:46:00Z</dcterms:modified>
</cp:coreProperties>
</file>