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AF" w:rsidRPr="00C06AAF" w:rsidRDefault="00C06AAF" w:rsidP="00C06AAF">
      <w:pPr>
        <w:pBdr>
          <w:top w:val="single" w:sz="18" w:space="2" w:color="FF0000"/>
          <w:bottom w:val="single" w:sz="36" w:space="2" w:color="1B99E4"/>
        </w:pBdr>
        <w:shd w:val="clear" w:color="auto" w:fill="273598"/>
        <w:spacing w:after="120" w:line="240" w:lineRule="auto"/>
        <w:ind w:left="150" w:right="90"/>
        <w:jc w:val="center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  <w:lang w:val="fr-FR"/>
        </w:rPr>
        <w:t>Les adjectifs</w:t>
      </w:r>
    </w:p>
    <w:p w:rsidR="00C06AAF" w:rsidRPr="00C06AAF" w:rsidRDefault="00C06AAF" w:rsidP="00C06AAF">
      <w:pPr>
        <w:spacing w:after="120" w:line="240" w:lineRule="auto"/>
        <w:ind w:left="150" w:right="90"/>
        <w:textAlignment w:val="baseline"/>
        <w:rPr>
          <w:rFonts w:asciiTheme="majorBidi" w:eastAsia="Times New Roman" w:hAnsiTheme="majorBidi" w:cstheme="majorBidi"/>
          <w:vanish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vanish/>
          <w:sz w:val="28"/>
          <w:szCs w:val="28"/>
          <w:lang w:val="fr-FR"/>
        </w:rPr>
        <w:t>fiches d'orthographe et de grammaire</w:t>
      </w:r>
    </w:p>
    <w:p w:rsidR="00C06AAF" w:rsidRPr="00C06AAF" w:rsidRDefault="00C06AAF" w:rsidP="00C06AAF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C06AAF">
        <w:rPr>
          <w:rFonts w:asciiTheme="majorBidi" w:eastAsia="Times New Roman" w:hAnsiTheme="majorBidi" w:cstheme="majorBidi"/>
          <w:vanish/>
          <w:sz w:val="28"/>
          <w:szCs w:val="28"/>
          <w:rtl/>
        </w:rPr>
        <w:t>أعلى النموذج</w:t>
      </w:r>
    </w:p>
    <w:p w:rsidR="00C06AAF" w:rsidRP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5" o:title=""/>
          </v:shape>
          <w:control r:id="rId6" w:name="DefaultOcxName" w:shapeid="_x0000_i1041"/>
        </w:objec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object w:dxaOrig="1440" w:dyaOrig="1440">
          <v:shape id="_x0000_i1040" type="#_x0000_t75" style="width:1in;height:18pt" o:ole="">
            <v:imagedata r:id="rId7" o:title=""/>
          </v:shape>
          <w:control r:id="rId8" w:name="DefaultOcxName1" w:shapeid="_x0000_i1040"/>
        </w:objec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object w:dxaOrig="1440" w:dyaOrig="1440">
          <v:shape id="_x0000_i1039" type="#_x0000_t75" style="width:1in;height:18pt" o:ole="">
            <v:imagedata r:id="rId9" o:title=""/>
          </v:shape>
          <w:control r:id="rId10" w:name="DefaultOcxName2" w:shapeid="_x0000_i1039"/>
        </w:objec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object w:dxaOrig="1440" w:dyaOrig="1440">
          <v:shape id="_x0000_i1038" type="#_x0000_t75" style="width:127.5pt;height:18pt" o:ole="">
            <v:imagedata r:id="rId11" o:title=""/>
          </v:shape>
          <w:control r:id="rId12" w:name="DefaultOcxName3" w:shapeid="_x0000_i1038"/>
        </w:objec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object w:dxaOrig="1440" w:dyaOrig="1440">
          <v:shape id="_x0000_i1078" type="#_x0000_t75" style="width:55.5pt;height:22.5pt" o:ole="">
            <v:imagedata r:id="rId13" o:title=""/>
          </v:shape>
          <w:control r:id="rId14" w:name="DefaultOcxName4" w:shapeid="_x0000_i1078"/>
        </w:object>
      </w:r>
    </w:p>
    <w:p w:rsidR="00C06AAF" w:rsidRPr="00C06AAF" w:rsidRDefault="00C06AAF" w:rsidP="00C06AAF">
      <w:pPr>
        <w:pBdr>
          <w:top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C06AAF">
        <w:rPr>
          <w:rFonts w:asciiTheme="majorBidi" w:eastAsia="Times New Roman" w:hAnsiTheme="majorBidi" w:cstheme="majorBidi"/>
          <w:vanish/>
          <w:sz w:val="28"/>
          <w:szCs w:val="28"/>
          <w:rtl/>
        </w:rPr>
        <w:t>أسفل النموذج</w:t>
      </w:r>
    </w:p>
    <w:p w:rsidR="00C06AAF" w:rsidRP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pict/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Les adjectifs</w:t>
      </w:r>
    </w:p>
    <w:p w:rsidR="00C06AAF" w:rsidRPr="00C06AAF" w:rsidRDefault="00C06AAF" w:rsidP="00C06AAF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voir aussi :</w:t>
      </w:r>
    </w:p>
    <w:p w:rsidR="00C06AAF" w:rsidRPr="00C06AAF" w:rsidRDefault="00C06AAF" w:rsidP="00C06AAF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hyperlink r:id="rId15" w:tooltip="" w:history="1">
        <w:r w:rsidRPr="00C06AAF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  <w:lang w:val="fr-FR"/>
          </w:rPr>
          <w:t>le féminin des adjectifs</w:t>
        </w:r>
      </w:hyperlink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</w:t>
      </w:r>
    </w:p>
    <w:p w:rsidR="00C06AAF" w:rsidRPr="00C06AAF" w:rsidRDefault="00C06AAF" w:rsidP="00C06AAF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hyperlink r:id="rId16" w:tooltip="" w:history="1">
        <w:r w:rsidRPr="00C06AAF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  <w:lang w:val="fr-FR"/>
          </w:rPr>
          <w:t>le pluriel des adjectifs</w:t>
        </w:r>
      </w:hyperlink>
      <w:hyperlink r:id="rId17" w:tooltip="" w:history="1">
        <w:r w:rsidRPr="00C06AAF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  <w:lang w:val="fr-FR"/>
          </w:rPr>
          <w:t xml:space="preserve"> de couleur</w:t>
        </w:r>
      </w:hyperlink>
    </w:p>
    <w:p w:rsidR="00C06AAF" w:rsidRPr="00C06AAF" w:rsidRDefault="00C06AAF" w:rsidP="00C06AAF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</w:p>
    <w:p w:rsidR="00C06AAF" w:rsidRP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C06AA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Les adjectifs démonstratifs </w:t>
      </w:r>
    </w:p>
    <w:p w:rsidR="00C06AAF" w:rsidRPr="00C06AAF" w:rsidRDefault="00C06AAF" w:rsidP="00C06AAF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Ce garçon ; cette fille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Cet homme, ces hommes, cet élève, cet arbre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Cette fille, ces filles </w:t>
      </w:r>
    </w:p>
    <w:tbl>
      <w:tblPr>
        <w:tblW w:w="5400" w:type="dxa"/>
        <w:jc w:val="center"/>
        <w:tblCellMar>
          <w:left w:w="0" w:type="dxa"/>
          <w:right w:w="0" w:type="dxa"/>
        </w:tblCellMar>
        <w:tblLook w:val="04A0"/>
      </w:tblPr>
      <w:tblGrid>
        <w:gridCol w:w="1800"/>
        <w:gridCol w:w="1800"/>
        <w:gridCol w:w="1800"/>
      </w:tblGrid>
      <w:tr w:rsidR="00C06AAF" w:rsidRPr="00C06AAF" w:rsidTr="00C06AAF">
        <w:trPr>
          <w:jc w:val="center"/>
        </w:trPr>
        <w:tc>
          <w:tcPr>
            <w:tcW w:w="1800" w:type="dxa"/>
            <w:vAlign w:val="center"/>
            <w:hideMark/>
          </w:tcPr>
          <w:p w:rsidR="00C06AAF" w:rsidRPr="00C06AAF" w:rsidRDefault="00C06AAF" w:rsidP="00C06AA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C06AAF" w:rsidRPr="00C06AAF" w:rsidRDefault="00C06AAF" w:rsidP="00C06AA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C06AAF" w:rsidRPr="00C06AAF" w:rsidRDefault="00C06AAF" w:rsidP="00C06AA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06AAF" w:rsidRPr="00C06AAF" w:rsidTr="00C06AAF">
        <w:trPr>
          <w:trHeight w:val="315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6AAF" w:rsidRPr="00C06AAF" w:rsidRDefault="00C06AAF" w:rsidP="00C06AAF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06AA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6AAF" w:rsidRPr="00C06AAF" w:rsidRDefault="00C06AAF" w:rsidP="00C06AAF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06AA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6AAF" w:rsidRPr="00C06AAF" w:rsidRDefault="00C06AAF" w:rsidP="00C06AAF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06AA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C06AAF" w:rsidRPr="00C06AAF" w:rsidTr="00C06AAF">
        <w:trPr>
          <w:trHeight w:val="315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6AAF" w:rsidRPr="00C06AAF" w:rsidRDefault="00C06AAF" w:rsidP="00C06AAF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06AA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6AAF" w:rsidRPr="00C06AAF" w:rsidRDefault="00C06AAF" w:rsidP="00C06AAF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06AA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6AAF" w:rsidRPr="00C06AAF" w:rsidRDefault="00C06AAF" w:rsidP="00C06AAF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06AA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:rsidR="00C06AAF" w:rsidRPr="00C06AAF" w:rsidRDefault="00C06AAF" w:rsidP="00C06AAF">
      <w:pPr>
        <w:spacing w:after="24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C06AA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Les adjectifs possessifs</w:t>
      </w:r>
    </w:p>
    <w:p w:rsidR="00C06AAF" w:rsidRPr="00C06AAF" w:rsidRDefault="00C06AAF" w:rsidP="00C06AA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Mon cahier, ton cahier, son cahier, notre cahier, votre cahier, leur cahier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mes livres, tes livres, ses livres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sa </w:t>
      </w:r>
      <w:proofErr w:type="spellStart"/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soeur</w:t>
      </w:r>
      <w:proofErr w:type="spellEnd"/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, son cahier, ses cahiers, ses livres, ses affaires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notre école, votre école, leur école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leurs affaires, leurs mains, (chacun a plusieurs affaires et deux mains!)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Leur tête (chacun a une seule tête!) </w:t>
      </w:r>
    </w:p>
    <w:p w:rsidR="00C06AAF" w:rsidRPr="00C06AAF" w:rsidRDefault="00C06AAF" w:rsidP="00C06AA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                     </w:t>
      </w:r>
      <w:r w:rsidRPr="00C06AA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Les adjectifs interrogatifs et exclamatifs</w:t>
      </w:r>
    </w:p>
    <w:p w:rsidR="00C06AAF" w:rsidRPr="00C06AAF" w:rsidRDefault="00C06AAF" w:rsidP="00C06AAF">
      <w:pPr>
        <w:spacing w:after="24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Quel talent !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Quelle surprise !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Quelle heure est-il ?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quels sont tes moments libres?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Quelles sont les villes françaises que tu connais?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</w:p>
    <w:p w:rsid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</w:p>
    <w:p w:rsid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</w:p>
    <w:p w:rsidR="00C06AAF" w:rsidRP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lastRenderedPageBreak/>
        <w:t xml:space="preserve">Les adjectifs numéraux cardinaux et ordinaux </w:t>
      </w:r>
    </w:p>
    <w:p w:rsidR="00C06AAF" w:rsidRPr="00C06AAF" w:rsidRDefault="00C06AAF" w:rsidP="00C06AA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l’adjectif numéral cardinal: un, deux, trois, quatre, ... cent, ...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l’adjectif numéral ordinal: premier, deuxième, troisième, quatrième, etc.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Deux cahiers et un stylo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trois pommes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cent euros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deux cent cinquante francs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François 1er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Frédéric II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le premier mars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le deux avril ....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L'an Mil neuf cent quatre-vingt</w:t>
      </w:r>
    </w:p>
    <w:p w:rsidR="00C06AAF" w:rsidRPr="00C06AAF" w:rsidRDefault="00C06AAF" w:rsidP="00C06AAF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</w:p>
    <w:p w:rsidR="00C06AAF" w:rsidRP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Les adjectifs indéfinis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Aucun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Autre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Certain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Chaque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Différents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Divers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Je ne sais quel, on ne sait quel, nous ne savons quel, etc.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L’un et l’autre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N’importe quel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Maint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Même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Nul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Pas un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Plus d’un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Plusieurs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Quel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Quelconque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Quelque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Tel </w:t>
      </w:r>
    </w:p>
    <w:p w:rsidR="00C06AAF" w:rsidRPr="00C06AAF" w:rsidRDefault="00C06AAF" w:rsidP="00C06AA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Tout</w:t>
      </w:r>
    </w:p>
    <w:p w:rsidR="00C06AAF" w:rsidRPr="00C06AAF" w:rsidRDefault="00C06AAF" w:rsidP="00C06AAF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lastRenderedPageBreak/>
        <w:br/>
        <w:t>Toute personne dans le besoin sera secourue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quelques touristes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certaines histoires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ils ont la même opinion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chaque enfant pourra apprendre à lire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nulle personne n’est à l’abri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pas un élève n’est absent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plusieurs objets sont </w:t>
      </w:r>
      <w:proofErr w:type="spellStart"/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manquantsetc</w:t>
      </w:r>
      <w:proofErr w:type="spellEnd"/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.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</w:p>
    <w:p w:rsidR="00C06AAF" w:rsidRPr="00C06AAF" w:rsidRDefault="00C06AAF" w:rsidP="00C06AA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Les adjectifs qualificatifs </w:t>
      </w:r>
    </w:p>
    <w:p w:rsidR="00C06AAF" w:rsidRPr="00C06AAF" w:rsidRDefault="00C06AAF" w:rsidP="00C06AAF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</w:p>
    <w:p w:rsidR="00C06AAF" w:rsidRPr="00C06AAF" w:rsidRDefault="00C06AAF" w:rsidP="00C06AAF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Groupe nominal (ou pronom) + adjectif qualificatif </w:t>
      </w:r>
    </w:p>
    <w:p w:rsidR="00C06AAF" w:rsidRPr="00C06AAF" w:rsidRDefault="00C06AAF" w:rsidP="00C06AAF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® Adjectif épithète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La maison blanche </w:t>
      </w:r>
    </w:p>
    <w:p w:rsidR="00C06AAF" w:rsidRPr="00C06AAF" w:rsidRDefault="00C06AAF" w:rsidP="00C06AAF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Groupe nominal + être ou semi-auxiliaire (verbes d’état) adjectif qualificatif</w:t>
      </w:r>
    </w:p>
    <w:p w:rsidR="00C06AAF" w:rsidRPr="00C06AAF" w:rsidRDefault="00C06AAF" w:rsidP="00C06AAF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t>® Adjectif attribut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La maison est (semble, paraît, devient, ...) blanche 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Adjectif qualificatif, groupe nominal + verbe + ...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® Adjectif apposé ou détaché 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Blanche, la maison se voit de loin.</w:t>
      </w:r>
      <w:r w:rsidRPr="00C06AAF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</w:p>
    <w:p w:rsidR="004F1197" w:rsidRPr="00C06AAF" w:rsidRDefault="004F1197">
      <w:pPr>
        <w:rPr>
          <w:rFonts w:asciiTheme="majorBidi" w:hAnsiTheme="majorBidi" w:cstheme="majorBidi"/>
          <w:sz w:val="28"/>
          <w:szCs w:val="28"/>
        </w:rPr>
      </w:pPr>
    </w:p>
    <w:sectPr w:rsidR="004F1197" w:rsidRPr="00C06AAF" w:rsidSect="004F1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8B9"/>
    <w:multiLevelType w:val="multilevel"/>
    <w:tmpl w:val="02BE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A2D59"/>
    <w:multiLevelType w:val="multilevel"/>
    <w:tmpl w:val="BECC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330A1"/>
    <w:multiLevelType w:val="multilevel"/>
    <w:tmpl w:val="8918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007EB"/>
    <w:multiLevelType w:val="multilevel"/>
    <w:tmpl w:val="CF6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AAF"/>
    <w:rsid w:val="004F1197"/>
    <w:rsid w:val="00C0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97"/>
  </w:style>
  <w:style w:type="paragraph" w:styleId="2">
    <w:name w:val="heading 2"/>
    <w:basedOn w:val="a"/>
    <w:link w:val="2Char"/>
    <w:uiPriority w:val="9"/>
    <w:qFormat/>
    <w:rsid w:val="00C06AAF"/>
    <w:pPr>
      <w:pBdr>
        <w:top w:val="single" w:sz="18" w:space="2" w:color="FF0000"/>
        <w:bottom w:val="single" w:sz="36" w:space="2" w:color="1B99E4"/>
      </w:pBdr>
      <w:shd w:val="clear" w:color="auto" w:fill="273598"/>
      <w:spacing w:after="120" w:line="240" w:lineRule="auto"/>
      <w:ind w:left="150" w:right="90"/>
      <w:jc w:val="center"/>
      <w:outlineLvl w:val="1"/>
    </w:pPr>
    <w:rPr>
      <w:rFonts w:ascii="Tahoma" w:eastAsia="Times New Roman" w:hAnsi="Tahoma" w:cs="Tahoma"/>
      <w:b/>
      <w:bCs/>
      <w:color w:val="FFFFFF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06AAF"/>
    <w:rPr>
      <w:rFonts w:ascii="Tahoma" w:eastAsia="Times New Roman" w:hAnsi="Tahoma" w:cs="Tahoma"/>
      <w:b/>
      <w:bCs/>
      <w:color w:val="FFFFFF"/>
      <w:sz w:val="29"/>
      <w:szCs w:val="29"/>
      <w:shd w:val="clear" w:color="auto" w:fill="273598"/>
    </w:rPr>
  </w:style>
  <w:style w:type="character" w:styleId="Hyperlink">
    <w:name w:val="Hyperlink"/>
    <w:basedOn w:val="a0"/>
    <w:uiPriority w:val="99"/>
    <w:semiHidden/>
    <w:unhideWhenUsed/>
    <w:rsid w:val="00C06AAF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C0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left">
    <w:name w:val="imalign_left"/>
    <w:basedOn w:val="a"/>
    <w:rsid w:val="00C0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C06A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C06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C06A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C06AAF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C06A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C06AAF"/>
    <w:rPr>
      <w:rFonts w:ascii="Arial" w:eastAsia="Times New Roman" w:hAnsi="Arial" w:cs="Arial"/>
      <w:vanish/>
      <w:sz w:val="16"/>
      <w:szCs w:val="16"/>
    </w:rPr>
  </w:style>
  <w:style w:type="character" w:customStyle="1" w:styleId="ff35">
    <w:name w:val="ff35"/>
    <w:basedOn w:val="a0"/>
    <w:rsid w:val="00C06AAF"/>
    <w:rPr>
      <w:rFonts w:ascii="Tahoma" w:hAnsi="Tahoma" w:cs="Tahoma" w:hint="default"/>
    </w:rPr>
  </w:style>
  <w:style w:type="character" w:customStyle="1" w:styleId="ff29">
    <w:name w:val="ff29"/>
    <w:basedOn w:val="a0"/>
    <w:rsid w:val="00C06AAF"/>
    <w:rPr>
      <w:rFonts w:ascii="Tahoma" w:hAnsi="Tahoma" w:cs="Tahoma" w:hint="default"/>
    </w:rPr>
  </w:style>
  <w:style w:type="character" w:customStyle="1" w:styleId="ff210">
    <w:name w:val="ff210"/>
    <w:basedOn w:val="a0"/>
    <w:rsid w:val="00C06AAF"/>
    <w:rPr>
      <w:rFonts w:ascii="Tahoma" w:hAnsi="Tahoma" w:cs="Tahoma" w:hint="default"/>
    </w:rPr>
  </w:style>
  <w:style w:type="character" w:customStyle="1" w:styleId="ff36">
    <w:name w:val="ff36"/>
    <w:basedOn w:val="a0"/>
    <w:rsid w:val="00C06AAF"/>
    <w:rPr>
      <w:rFonts w:ascii="Tahoma" w:hAnsi="Tahoma" w:cs="Tahoma" w:hint="default"/>
    </w:rPr>
  </w:style>
  <w:style w:type="character" w:customStyle="1" w:styleId="ff211">
    <w:name w:val="ff211"/>
    <w:basedOn w:val="a0"/>
    <w:rsid w:val="00C06AAF"/>
    <w:rPr>
      <w:rFonts w:ascii="Tahoma" w:hAnsi="Tahoma" w:cs="Tahoma" w:hint="default"/>
    </w:rPr>
  </w:style>
  <w:style w:type="character" w:customStyle="1" w:styleId="ff37">
    <w:name w:val="ff37"/>
    <w:basedOn w:val="a0"/>
    <w:rsid w:val="00C06AAF"/>
    <w:rPr>
      <w:rFonts w:ascii="Tahoma" w:hAnsi="Tahoma" w:cs="Tahoma" w:hint="default"/>
    </w:rPr>
  </w:style>
  <w:style w:type="character" w:customStyle="1" w:styleId="ff43">
    <w:name w:val="ff43"/>
    <w:basedOn w:val="a0"/>
    <w:rsid w:val="00C06AAF"/>
    <w:rPr>
      <w:rFonts w:ascii="Constantia" w:hAnsi="Constantia" w:hint="default"/>
    </w:rPr>
  </w:style>
  <w:style w:type="character" w:customStyle="1" w:styleId="ff09">
    <w:name w:val="ff09"/>
    <w:basedOn w:val="a0"/>
    <w:rsid w:val="00C06AAF"/>
    <w:rPr>
      <w:rFonts w:ascii="Times New Roman" w:hAnsi="Times New Roman" w:cs="Times New Roman" w:hint="default"/>
    </w:rPr>
  </w:style>
  <w:style w:type="character" w:customStyle="1" w:styleId="ff212">
    <w:name w:val="ff212"/>
    <w:basedOn w:val="a0"/>
    <w:rsid w:val="00C06AAF"/>
    <w:rPr>
      <w:rFonts w:ascii="Symbol" w:hAnsi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http://www.orthogram.com/le_pluriel_des_adjectifs_de_couleu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thogram.com/le_pluriel_des_adjectifs_de_couleur.html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://www.orthogram.com/le_feminin_des_adjectifs.html" TargetMode="Externa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2173</Characters>
  <Application>Microsoft Office Word</Application>
  <DocSecurity>0</DocSecurity>
  <Lines>18</Lines>
  <Paragraphs>5</Paragraphs>
  <ScaleCrop>false</ScaleCrop>
  <Company>WW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2009-09-26T17:05:00Z</dcterms:created>
  <dcterms:modified xsi:type="dcterms:W3CDTF">2009-09-26T17:10:00Z</dcterms:modified>
</cp:coreProperties>
</file>