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33" w:rsidRPr="00632433" w:rsidRDefault="00632433" w:rsidP="00632433">
      <w:pPr>
        <w:spacing w:after="0" w:line="240" w:lineRule="auto"/>
        <w:jc w:val="both"/>
        <w:rPr>
          <w:rFonts w:cs="DecoType Naskh"/>
          <w:b/>
          <w:bCs/>
          <w:sz w:val="28"/>
          <w:szCs w:val="28"/>
          <w:rtl/>
          <w:lang w:bidi="ar-IQ"/>
        </w:rPr>
      </w:pPr>
      <w:bookmarkStart w:id="0" w:name="_GoBack"/>
      <w:bookmarkEnd w:id="0"/>
      <w:r w:rsidRPr="00632433">
        <w:rPr>
          <w:rFonts w:cs="DecoType Naskh" w:hint="cs"/>
          <w:b/>
          <w:bCs/>
          <w:sz w:val="28"/>
          <w:szCs w:val="28"/>
          <w:rtl/>
          <w:lang w:bidi="ar-IQ"/>
        </w:rPr>
        <w:t xml:space="preserve">النحو في أقطار الوطن العربي = </w:t>
      </w:r>
      <w:r w:rsidRPr="00632433">
        <w:rPr>
          <w:rFonts w:cs="DecoType Naskh"/>
          <w:b/>
          <w:bCs/>
          <w:sz w:val="28"/>
          <w:szCs w:val="28"/>
          <w:rtl/>
          <w:lang w:bidi="ar-IQ"/>
        </w:rPr>
        <w:t>مدارس مختلفة</w:t>
      </w:r>
    </w:p>
    <w:p w:rsidR="00632433" w:rsidRPr="00632433" w:rsidRDefault="00632433" w:rsidP="00632433">
      <w:pPr>
        <w:spacing w:after="0" w:line="240" w:lineRule="auto"/>
        <w:jc w:val="both"/>
        <w:rPr>
          <w:rFonts w:cs="DecoType Naskh"/>
          <w:b/>
          <w:bCs/>
          <w:sz w:val="28"/>
          <w:szCs w:val="28"/>
          <w:rtl/>
          <w:lang w:bidi="ar-IQ"/>
        </w:rPr>
      </w:pPr>
      <w:r w:rsidRPr="00632433">
        <w:rPr>
          <w:rFonts w:cs="DecoType Naskh" w:hint="cs"/>
          <w:b/>
          <w:bCs/>
          <w:sz w:val="28"/>
          <w:szCs w:val="28"/>
          <w:rtl/>
          <w:lang w:bidi="ar-IQ"/>
        </w:rPr>
        <w:t>أولاً:</w:t>
      </w:r>
      <w:r w:rsidRPr="00632433">
        <w:rPr>
          <w:rFonts w:cs="DecoType Naskh"/>
          <w:b/>
          <w:bCs/>
          <w:sz w:val="28"/>
          <w:szCs w:val="28"/>
          <w:rtl/>
          <w:lang w:bidi="ar-IQ"/>
        </w:rPr>
        <w:t xml:space="preserve"> المدرسة البغدادية</w:t>
      </w:r>
    </w:p>
    <w:p w:rsidR="00632433" w:rsidRPr="00632433" w:rsidRDefault="00632433" w:rsidP="00632433">
      <w:pPr>
        <w:spacing w:after="0" w:line="240" w:lineRule="auto"/>
        <w:jc w:val="both"/>
        <w:rPr>
          <w:rFonts w:cs="DecoType Naskh"/>
          <w:b/>
          <w:bCs/>
          <w:sz w:val="28"/>
          <w:szCs w:val="28"/>
          <w:rtl/>
          <w:lang w:bidi="ar-IQ"/>
        </w:rPr>
      </w:pPr>
      <w:r w:rsidRPr="00632433">
        <w:rPr>
          <w:rFonts w:cs="DecoType Naskh"/>
          <w:b/>
          <w:bCs/>
          <w:sz w:val="28"/>
          <w:szCs w:val="28"/>
          <w:rtl/>
          <w:lang w:bidi="ar-IQ"/>
        </w:rPr>
        <w:t>1- نشوء المدرسة البغدادية:</w:t>
      </w:r>
    </w:p>
    <w:p w:rsidR="00C606AA" w:rsidRDefault="00632433" w:rsidP="00632433">
      <w:pPr>
        <w:spacing w:after="0" w:line="240" w:lineRule="auto"/>
        <w:jc w:val="both"/>
        <w:rPr>
          <w:rFonts w:cs="DecoType Naskh" w:hint="cs"/>
          <w:b/>
          <w:bCs/>
          <w:sz w:val="28"/>
          <w:szCs w:val="28"/>
          <w:rtl/>
          <w:lang w:bidi="ar-IQ"/>
        </w:rPr>
      </w:pPr>
      <w:r w:rsidRPr="00632433">
        <w:rPr>
          <w:rFonts w:cs="DecoType Naskh"/>
          <w:b/>
          <w:bCs/>
          <w:sz w:val="28"/>
          <w:szCs w:val="28"/>
          <w:rtl/>
          <w:lang w:bidi="ar-IQ"/>
        </w:rPr>
        <w:t>اتبع نحاة بغداد في القرن الرابع الهجري نهجا جديدا في دراساتهم ومصنفاتهم النحوية يقوم على الانتخاب من آراء المدرستين البصرية والكوفية جميعا، وكان من أهم ما هيأ لهذا الاتجاه الجديد أن أوائل هؤلاء النحاة تتلمذوا للمبرد وثعلب، وبذلك نشأ جيل من النحاة يحمل آراء مدرستيهما ويعنى بالتعمق في مصنفات أصحابهما والنفوذ من خلال ذلك إلى كثير من الآراء النحوية الجديدة.</w:t>
      </w:r>
    </w:p>
    <w:p w:rsidR="00632433" w:rsidRDefault="00632433" w:rsidP="00632433">
      <w:pPr>
        <w:spacing w:after="0" w:line="240" w:lineRule="auto"/>
        <w:jc w:val="both"/>
        <w:rPr>
          <w:rFonts w:cs="DecoType Naskh" w:hint="cs"/>
          <w:sz w:val="28"/>
          <w:szCs w:val="28"/>
          <w:rtl/>
          <w:lang w:bidi="ar-IQ"/>
        </w:rPr>
      </w:pPr>
      <w:r w:rsidRPr="00632433">
        <w:rPr>
          <w:rFonts w:cs="DecoType Naskh"/>
          <w:b/>
          <w:bCs/>
          <w:sz w:val="28"/>
          <w:szCs w:val="28"/>
          <w:rtl/>
          <w:lang w:bidi="ar-IQ"/>
        </w:rPr>
        <w:t>وكان من هذا الجيل من يغلب عليه الميل إلى الآراء الكوفية ومن يغلب عليه الميل إلى الآراء البصرية، فاضطرب كُتَّاب التراجم والطبقات إزاءه، فمنهم من حاول تصنيف أفراده في المدرستين الكوفية والبصرية على نحو ما صنع الزبيدي في طبقاته, ومنهم من أفردهم بمدرسة مستقلة كما صنع ابن النديم في الفهرست، وإن كان قد أدخل فيهم نفرا ليس لهم نشاط نحوي مذكور مثل ابن قتيبة, وأبي حنيفة الدينوري.</w:t>
      </w:r>
    </w:p>
    <w:p w:rsidR="00632433" w:rsidRDefault="00632433" w:rsidP="00632433">
      <w:pPr>
        <w:spacing w:after="0" w:line="240" w:lineRule="auto"/>
        <w:jc w:val="both"/>
        <w:rPr>
          <w:rFonts w:cs="DecoType Naskh" w:hint="cs"/>
          <w:sz w:val="28"/>
          <w:szCs w:val="28"/>
          <w:rtl/>
          <w:lang w:bidi="ar-IQ"/>
        </w:rPr>
      </w:pPr>
    </w:p>
    <w:p w:rsidR="00632433" w:rsidRDefault="00632433" w:rsidP="00632433">
      <w:pPr>
        <w:spacing w:after="0" w:line="240" w:lineRule="auto"/>
        <w:jc w:val="both"/>
        <w:rPr>
          <w:rFonts w:cs="DecoType Naskh" w:hint="cs"/>
          <w:sz w:val="28"/>
          <w:szCs w:val="28"/>
          <w:rtl/>
          <w:lang w:bidi="ar-IQ"/>
        </w:rPr>
      </w:pPr>
    </w:p>
    <w:p w:rsidR="00632433" w:rsidRDefault="00632433" w:rsidP="00632433">
      <w:pPr>
        <w:spacing w:after="0" w:line="240" w:lineRule="auto"/>
        <w:jc w:val="both"/>
        <w:rPr>
          <w:rFonts w:cs="DecoType Naskh" w:hint="cs"/>
          <w:sz w:val="28"/>
          <w:szCs w:val="28"/>
          <w:rtl/>
          <w:lang w:bidi="ar-IQ"/>
        </w:rPr>
      </w:pPr>
    </w:p>
    <w:p w:rsidR="00632433" w:rsidRPr="00632433" w:rsidRDefault="00632433" w:rsidP="00632433">
      <w:pPr>
        <w:spacing w:after="0" w:line="240" w:lineRule="auto"/>
        <w:jc w:val="both"/>
        <w:rPr>
          <w:rFonts w:cs="DecoType Naskh"/>
          <w:b/>
          <w:bCs/>
          <w:sz w:val="28"/>
          <w:szCs w:val="28"/>
          <w:rtl/>
          <w:lang w:bidi="ar-IQ"/>
        </w:rPr>
      </w:pPr>
      <w:r>
        <w:rPr>
          <w:rFonts w:cs="DecoType Naskh" w:hint="cs"/>
          <w:sz w:val="28"/>
          <w:szCs w:val="28"/>
          <w:rtl/>
          <w:lang w:bidi="ar-IQ"/>
        </w:rPr>
        <w:t xml:space="preserve">2- النشاط النحوي في الأندلس: </w:t>
      </w:r>
      <w:r w:rsidRPr="00632433">
        <w:rPr>
          <w:rFonts w:cs="DecoType Naskh"/>
          <w:b/>
          <w:bCs/>
          <w:sz w:val="28"/>
          <w:szCs w:val="28"/>
          <w:rtl/>
          <w:lang w:bidi="ar-IQ"/>
        </w:rPr>
        <w:t>النشاط النحوي في الأندلس:</w:t>
      </w:r>
    </w:p>
    <w:p w:rsidR="00632433" w:rsidRPr="00632433" w:rsidRDefault="00632433" w:rsidP="00632433">
      <w:pPr>
        <w:spacing w:after="0" w:line="240" w:lineRule="auto"/>
        <w:jc w:val="both"/>
        <w:rPr>
          <w:rFonts w:cs="DecoType Naskh"/>
          <w:b/>
          <w:bCs/>
          <w:sz w:val="28"/>
          <w:szCs w:val="28"/>
          <w:rtl/>
          <w:lang w:bidi="ar-IQ"/>
        </w:rPr>
      </w:pPr>
      <w:r w:rsidRPr="00632433">
        <w:rPr>
          <w:rFonts w:cs="DecoType Naskh"/>
          <w:b/>
          <w:bCs/>
          <w:sz w:val="28"/>
          <w:szCs w:val="28"/>
          <w:rtl/>
          <w:lang w:bidi="ar-IQ"/>
        </w:rPr>
        <w:t>لا نكاد نمضي في عصر بني أمية بالأندلس "138-422هـ" حتى تنشأ طبقة كبيرة من المؤدبين الذين كانوا يعلمون الشباب في قرطبة وغيرها من الحواضر الأندلسية مبادئ العربية عن طريق مدارسة النصوص والأشعار، ويدفعهم إلى ذلك حفاظهم على القرآن الكريم وسلامة لغته وتلاوته، وبذلك كان أكثرهم من قُرَّاء الذكر الحكيم، وكان كثير منهم يرحلون إلى المشرق فيتلقون هذه القراءات، ويعودون إلى موطنهم فيرسمونها للناس بجميع شاراتها كما يرسمون لهم العربية بمقوماتها اللغوية.</w:t>
      </w:r>
    </w:p>
    <w:p w:rsidR="00632433" w:rsidRPr="00632433" w:rsidRDefault="00632433" w:rsidP="00632433">
      <w:pPr>
        <w:spacing w:after="0" w:line="240" w:lineRule="auto"/>
        <w:jc w:val="both"/>
        <w:rPr>
          <w:rFonts w:cs="DecoType Naskh"/>
          <w:b/>
          <w:bCs/>
          <w:sz w:val="28"/>
          <w:szCs w:val="28"/>
          <w:rtl/>
          <w:lang w:bidi="ar-IQ"/>
        </w:rPr>
      </w:pPr>
      <w:r w:rsidRPr="00632433">
        <w:rPr>
          <w:rFonts w:cs="DecoType Naskh"/>
          <w:b/>
          <w:bCs/>
          <w:sz w:val="28"/>
          <w:szCs w:val="28"/>
          <w:rtl/>
          <w:lang w:bidi="ar-IQ"/>
        </w:rPr>
        <w:t xml:space="preserve">ومن أجل ذلك لا نعجب إذا وجدنا مشهوري هؤلاء المؤدبين يُعنون بالتأليف في القراءات يتقدمهم أبو موسى الهواري، وهو كما يقول الزبيدي: "أول من جَمَعَ الفقه في الدين وعلم العرب بالأندلس، رحل في أول إمارة عبد الرحمن الداخل "138-172هـ" فلقي مالكا ونظراءه من الأئمة ولقي الأصمعي وأبا زيد ونظراءهما، وداخل الأعراب في محالّها، وله </w:t>
      </w:r>
      <w:r w:rsidRPr="00632433">
        <w:rPr>
          <w:rFonts w:cs="DecoType Naskh"/>
          <w:b/>
          <w:bCs/>
          <w:sz w:val="28"/>
          <w:szCs w:val="28"/>
          <w:rtl/>
          <w:lang w:bidi="ar-IQ"/>
        </w:rPr>
        <w:lastRenderedPageBreak/>
        <w:t>كتاب في القراءات"1. وكان يعاصره الغازي بن قيس الذي احترف تأديب الناشئة بقرطبة، وقد رحل مثله إلى المشرق وأخذ عن مالك الفقه وعن نافع بن أبي نعيم مقرئ أهل المدينة قراءته للذكر الحكيم، وأقرأ بها في قرطبة، ولقي الأصمعي ونظراءه2.</w:t>
      </w:r>
    </w:p>
    <w:p w:rsidR="00632433" w:rsidRPr="00632433" w:rsidRDefault="00632433" w:rsidP="00632433">
      <w:pPr>
        <w:spacing w:after="0" w:line="240" w:lineRule="auto"/>
        <w:jc w:val="both"/>
        <w:rPr>
          <w:rFonts w:cs="DecoType Naskh"/>
          <w:b/>
          <w:bCs/>
          <w:sz w:val="28"/>
          <w:szCs w:val="28"/>
          <w:rtl/>
          <w:lang w:bidi="ar-IQ"/>
        </w:rPr>
      </w:pPr>
      <w:r w:rsidRPr="00632433">
        <w:rPr>
          <w:rFonts w:cs="DecoType Naskh"/>
          <w:b/>
          <w:bCs/>
          <w:sz w:val="28"/>
          <w:szCs w:val="28"/>
          <w:rtl/>
          <w:lang w:bidi="ar-IQ"/>
        </w:rPr>
        <w:t xml:space="preserve">وأول نحاة الأندلس بالمعنى الدقيق لكلمة نحوي, جودي3 بن عثمان </w:t>
      </w:r>
      <w:proofErr w:type="spellStart"/>
      <w:r w:rsidRPr="00632433">
        <w:rPr>
          <w:rFonts w:cs="DecoType Naskh"/>
          <w:b/>
          <w:bCs/>
          <w:sz w:val="28"/>
          <w:szCs w:val="28"/>
          <w:rtl/>
          <w:lang w:bidi="ar-IQ"/>
        </w:rPr>
        <w:t>المَوْروري</w:t>
      </w:r>
      <w:proofErr w:type="spellEnd"/>
      <w:r>
        <w:rPr>
          <w:rFonts w:cs="DecoType Naskh" w:hint="cs"/>
          <w:b/>
          <w:bCs/>
          <w:sz w:val="28"/>
          <w:szCs w:val="28"/>
          <w:rtl/>
          <w:lang w:bidi="ar-IQ"/>
        </w:rPr>
        <w:t xml:space="preserve"> </w:t>
      </w:r>
      <w:r w:rsidRPr="00632433">
        <w:rPr>
          <w:rFonts w:cs="DecoType Naskh"/>
          <w:b/>
          <w:bCs/>
          <w:sz w:val="28"/>
          <w:szCs w:val="28"/>
          <w:rtl/>
          <w:lang w:bidi="ar-IQ"/>
        </w:rPr>
        <w:t>الذي رحل إلى المشرق وتتلمذ للكسائي والفراء، وهو أول من أدخل إلى موطنه كتب الكوفيين، وأول من صنف به في النحو، وما زال يدرسه لطلابه حتى توفي سنة 198 للهجرة. وكان يعاصره أبو عبد الله1 محمد بن عبد الله الذي رحل مثله إلى المشرق، وأخذ عن عثمان بن سعيد المصري المعروف باسم وَرْش قراءته، وأدخلها إلى الأندلس، وكان بصيرا بالعربية.</w:t>
      </w:r>
    </w:p>
    <w:p w:rsidR="00632433" w:rsidRPr="00632433" w:rsidRDefault="00632433" w:rsidP="00632433">
      <w:pPr>
        <w:spacing w:after="0" w:line="240" w:lineRule="auto"/>
        <w:jc w:val="both"/>
        <w:rPr>
          <w:rFonts w:cs="DecoType Naskh"/>
          <w:b/>
          <w:bCs/>
          <w:sz w:val="28"/>
          <w:szCs w:val="28"/>
          <w:rtl/>
          <w:lang w:bidi="ar-IQ"/>
        </w:rPr>
      </w:pPr>
      <w:r w:rsidRPr="00632433">
        <w:rPr>
          <w:rFonts w:cs="DecoType Naskh"/>
          <w:b/>
          <w:bCs/>
          <w:sz w:val="28"/>
          <w:szCs w:val="28"/>
          <w:rtl/>
          <w:lang w:bidi="ar-IQ"/>
        </w:rPr>
        <w:t>ويتكاثر هؤلاء القراء والمؤدبون في القرن الثالث الهجري، ويتميز من بينهم عبد الملك2 بن حبيب السلمي المتوفى سنة 238 للهجرة، وكان إماما في الفقه والحديث والنحو واللغة، وبين مصنفاته كتاب في إعراب القرآن. ويعنى في نفس القرن مفرج3 بن مالك النحوي بوضع شرح على كتاب الكسائي، كما يعنى معاصره أبو بكر4 بن خاطب النحوي المكفوف بوضع كتاب في النحو كانت له شهرة في موطنه. ويذكر الزبيدي كثيرين كانوا يعنون بالشعر القديم والعباسي وشرحه للطلاب.</w:t>
      </w:r>
    </w:p>
    <w:p w:rsidR="00632433" w:rsidRDefault="00632433" w:rsidP="00632433">
      <w:pPr>
        <w:spacing w:after="0" w:line="240" w:lineRule="auto"/>
        <w:jc w:val="both"/>
        <w:rPr>
          <w:rFonts w:cs="DecoType Naskh" w:hint="cs"/>
          <w:sz w:val="28"/>
          <w:szCs w:val="28"/>
          <w:rtl/>
          <w:lang w:bidi="ar-IQ"/>
        </w:rPr>
      </w:pPr>
      <w:r w:rsidRPr="00632433">
        <w:rPr>
          <w:rFonts w:cs="DecoType Naskh"/>
          <w:b/>
          <w:bCs/>
          <w:sz w:val="28"/>
          <w:szCs w:val="28"/>
          <w:rtl/>
          <w:lang w:bidi="ar-IQ"/>
        </w:rPr>
        <w:t xml:space="preserve">ويبدو أن الأندلس تأخرت في عنايتها بالنحو البصري, وأنها صبَّت عنايتها أولا على النحو الكوفي </w:t>
      </w:r>
      <w:proofErr w:type="spellStart"/>
      <w:r w:rsidRPr="00632433">
        <w:rPr>
          <w:rFonts w:cs="DecoType Naskh"/>
          <w:b/>
          <w:bCs/>
          <w:sz w:val="28"/>
          <w:szCs w:val="28"/>
          <w:rtl/>
          <w:lang w:bidi="ar-IQ"/>
        </w:rPr>
        <w:t>مقتدية</w:t>
      </w:r>
      <w:proofErr w:type="spellEnd"/>
      <w:r w:rsidRPr="00632433">
        <w:rPr>
          <w:rFonts w:cs="DecoType Naskh"/>
          <w:b/>
          <w:bCs/>
          <w:sz w:val="28"/>
          <w:szCs w:val="28"/>
          <w:rtl/>
          <w:lang w:bidi="ar-IQ"/>
        </w:rPr>
        <w:t xml:space="preserve"> بنحويِّها الأول جودي بن عثمان، حتى إذا أصبحنا في أواخر القرن الثالث الهجري وجدنا الأفُشْنيق5 محمد بن موسى بن هاشم المتوفى سنة 307 يرحل إلى المشرق ويلقى بمصر أبا جعفر الدينوري، ويأخذ عنه كتاب سيبويه رواية </w:t>
      </w:r>
      <w:proofErr w:type="spellStart"/>
      <w:r w:rsidRPr="00632433">
        <w:rPr>
          <w:rFonts w:cs="DecoType Naskh"/>
          <w:b/>
          <w:bCs/>
          <w:sz w:val="28"/>
          <w:szCs w:val="28"/>
          <w:rtl/>
          <w:lang w:bidi="ar-IQ"/>
        </w:rPr>
        <w:t>ويقرؤه</w:t>
      </w:r>
      <w:proofErr w:type="spellEnd"/>
      <w:r w:rsidRPr="00632433">
        <w:rPr>
          <w:rFonts w:cs="DecoType Naskh"/>
          <w:b/>
          <w:bCs/>
          <w:sz w:val="28"/>
          <w:szCs w:val="28"/>
          <w:rtl/>
          <w:lang w:bidi="ar-IQ"/>
        </w:rPr>
        <w:t xml:space="preserve"> بقرطبة لطلابه. ويأخذ غير نحوي في مدارسة الكتاب مثل أحمد6 بن يوسف بن حجاج المتوفى سنة 336, وكان يضع دائما كتاب سيبويه بين يديه ولا يَنِي عن مطالعته في حال فراغه وشغله وصحته وسقمه.</w:t>
      </w:r>
    </w:p>
    <w:p w:rsidR="00632433" w:rsidRDefault="00632433" w:rsidP="00632433">
      <w:pPr>
        <w:spacing w:after="0" w:line="240" w:lineRule="auto"/>
        <w:jc w:val="both"/>
        <w:rPr>
          <w:rFonts w:cs="DecoType Naskh" w:hint="cs"/>
          <w:sz w:val="28"/>
          <w:szCs w:val="28"/>
          <w:rtl/>
          <w:lang w:bidi="ar-IQ"/>
        </w:rPr>
      </w:pPr>
    </w:p>
    <w:p w:rsidR="00632433" w:rsidRDefault="00632433" w:rsidP="00632433">
      <w:pPr>
        <w:spacing w:after="0" w:line="240" w:lineRule="auto"/>
        <w:jc w:val="both"/>
        <w:rPr>
          <w:rFonts w:cs="DecoType Naskh" w:hint="cs"/>
          <w:sz w:val="28"/>
          <w:szCs w:val="28"/>
          <w:rtl/>
          <w:lang w:bidi="ar-IQ"/>
        </w:rPr>
      </w:pPr>
    </w:p>
    <w:p w:rsidR="00632433" w:rsidRPr="00632433" w:rsidRDefault="00632433" w:rsidP="00632433">
      <w:pPr>
        <w:spacing w:after="0" w:line="240" w:lineRule="auto"/>
        <w:jc w:val="both"/>
        <w:rPr>
          <w:rFonts w:cs="DecoType Naskh"/>
          <w:b/>
          <w:bCs/>
          <w:sz w:val="28"/>
          <w:szCs w:val="28"/>
          <w:rtl/>
          <w:lang w:bidi="ar-IQ"/>
        </w:rPr>
      </w:pPr>
      <w:r>
        <w:rPr>
          <w:rFonts w:cs="DecoType Naskh" w:hint="cs"/>
          <w:sz w:val="28"/>
          <w:szCs w:val="28"/>
          <w:rtl/>
          <w:lang w:bidi="ar-IQ"/>
        </w:rPr>
        <w:t xml:space="preserve">3- المدرسة المصرية: </w:t>
      </w:r>
      <w:r w:rsidRPr="00632433">
        <w:rPr>
          <w:rFonts w:cs="DecoType Naskh"/>
          <w:b/>
          <w:bCs/>
          <w:sz w:val="28"/>
          <w:szCs w:val="28"/>
          <w:rtl/>
          <w:lang w:bidi="ar-IQ"/>
        </w:rPr>
        <w:t>النشاط النحوي في مصر:</w:t>
      </w:r>
    </w:p>
    <w:p w:rsidR="00632433" w:rsidRPr="00632433" w:rsidRDefault="00632433" w:rsidP="00632433">
      <w:pPr>
        <w:spacing w:after="0" w:line="240" w:lineRule="auto"/>
        <w:jc w:val="both"/>
        <w:rPr>
          <w:rFonts w:cs="DecoType Naskh"/>
          <w:b/>
          <w:bCs/>
          <w:sz w:val="28"/>
          <w:szCs w:val="28"/>
          <w:rtl/>
          <w:lang w:bidi="ar-IQ"/>
        </w:rPr>
      </w:pPr>
      <w:r w:rsidRPr="00632433">
        <w:rPr>
          <w:rFonts w:cs="DecoType Naskh"/>
          <w:b/>
          <w:bCs/>
          <w:sz w:val="28"/>
          <w:szCs w:val="28"/>
          <w:rtl/>
          <w:lang w:bidi="ar-IQ"/>
        </w:rPr>
        <w:t xml:space="preserve">كان طبيعيا أن تنشط دراسات النحو في مصر مبكرة مع العناية بضبط القرآن الكريم وقراءاته، مما دفع إلى نشوء طبقة من المؤدِّبين على غرار ما حدث بالأندلس، كانوا يعلِّمون الشباب في الفسطاط والإسكندرية مبادئ العربية حتى يحسنوا تلاوة الذكر الحكيم، وأسهم في ذلك معهم غير عالم ممن كانت تجذبهم مصر إليها, ومن أقدمهم عبد الرحمن1 بن هرمز </w:t>
      </w:r>
      <w:r w:rsidRPr="00632433">
        <w:rPr>
          <w:rFonts w:cs="DecoType Naskh"/>
          <w:b/>
          <w:bCs/>
          <w:sz w:val="28"/>
          <w:szCs w:val="28"/>
          <w:rtl/>
          <w:lang w:bidi="ar-IQ"/>
        </w:rPr>
        <w:lastRenderedPageBreak/>
        <w:t>تلميذ أبي الأسود الدؤلي المتوفى بالإسكندرية سنة 117 للهجرة، وقد عرضنا له في أوائل حديثنا عن نشوء مدرسة البصرة، وقلنا: إنه ممن أذاع نَقْط الإعراب ونَقْط الإعجام في المصحف، وإنه كان من جِلَّة القراء، وكان قد أخذ القراءة عن عبد الله بن العباس وأبي هريرة, وعنه أخذها نافع بن أبي نعيم مقرئ أهل المدينة وأحد القراء السبعة المشهورين. ومن أنبه القراء الذين خلفوه بمصر وأشهرهم ورش: عثمان2 بن سعيد القبطي الأصل المتوفى في سنة 197 للهجرة، رحل إلى المدينة وأخذ عن نافع قراءته سنة 155 ثم عاد إلى الفسطاط، فانتهت إليه رياسة الإقراء بالديار المصرية، وكان ماهرا في العربية، وحمل عنه قراءته كثيرون أذاعوها لا في مصر وحدها، بل أيضا في الأندلس وفي المغرب, ولا تزال شائعة به إلى اليوم.</w:t>
      </w:r>
    </w:p>
    <w:p w:rsidR="00632433" w:rsidRPr="00632433" w:rsidRDefault="00632433" w:rsidP="00632433">
      <w:pPr>
        <w:spacing w:after="0" w:line="240" w:lineRule="auto"/>
        <w:jc w:val="both"/>
        <w:rPr>
          <w:rFonts w:cs="DecoType Naskh"/>
          <w:b/>
          <w:bCs/>
          <w:sz w:val="28"/>
          <w:szCs w:val="28"/>
          <w:rtl/>
          <w:lang w:bidi="ar-IQ"/>
        </w:rPr>
      </w:pPr>
      <w:r w:rsidRPr="00632433">
        <w:rPr>
          <w:rFonts w:cs="DecoType Naskh"/>
          <w:b/>
          <w:bCs/>
          <w:sz w:val="28"/>
          <w:szCs w:val="28"/>
          <w:rtl/>
          <w:lang w:bidi="ar-IQ"/>
        </w:rPr>
        <w:t>وأول نحوي حمل بمصر راية النحو بمعناه الدقيق وَلَّاد3 بن محمد التميمي</w:t>
      </w:r>
      <w:r>
        <w:rPr>
          <w:rFonts w:cs="DecoType Naskh" w:hint="cs"/>
          <w:sz w:val="28"/>
          <w:szCs w:val="28"/>
          <w:rtl/>
          <w:lang w:bidi="ar-IQ"/>
        </w:rPr>
        <w:t xml:space="preserve"> </w:t>
      </w:r>
      <w:r w:rsidRPr="00632433">
        <w:rPr>
          <w:rFonts w:cs="DecoType Naskh"/>
          <w:b/>
          <w:bCs/>
          <w:sz w:val="28"/>
          <w:szCs w:val="28"/>
          <w:rtl/>
          <w:lang w:bidi="ar-IQ"/>
        </w:rPr>
        <w:t xml:space="preserve">البصري الأصل الناشئ بالفسطاط، وقد رحل إلى العراق، فلقي الخليل بن أحمد وأخذ عنه ولازمه، وسمع منه الكثير، وعاد إلى مصر ومعه كتبه التي </w:t>
      </w:r>
      <w:proofErr w:type="spellStart"/>
      <w:r w:rsidRPr="00632433">
        <w:rPr>
          <w:rFonts w:cs="DecoType Naskh"/>
          <w:b/>
          <w:bCs/>
          <w:sz w:val="28"/>
          <w:szCs w:val="28"/>
          <w:rtl/>
          <w:lang w:bidi="ar-IQ"/>
        </w:rPr>
        <w:t>استفادها</w:t>
      </w:r>
      <w:proofErr w:type="spellEnd"/>
      <w:r w:rsidRPr="00632433">
        <w:rPr>
          <w:rFonts w:cs="DecoType Naskh"/>
          <w:b/>
          <w:bCs/>
          <w:sz w:val="28"/>
          <w:szCs w:val="28"/>
          <w:rtl/>
          <w:lang w:bidi="ar-IQ"/>
        </w:rPr>
        <w:t xml:space="preserve"> في العربية من إملاءات الخليل، وأخذ يحاضر فيها الطلاب، ويقول الزبيدي: "إنه لم يكن بمصر كبير شيء من كتب النحو واللغة قبله". وكان يعاصره أبو الحسن1 الأعز الذي تتلمذ على الكسائي. وبذلك اتصلت الدراسات النحوية بمصر في زمن مبكر بإمامي المدرستين الكوفية والبصرية.</w:t>
      </w:r>
    </w:p>
    <w:p w:rsidR="00632433" w:rsidRDefault="00632433" w:rsidP="00632433">
      <w:pPr>
        <w:spacing w:after="0" w:line="240" w:lineRule="auto"/>
        <w:jc w:val="both"/>
        <w:rPr>
          <w:rFonts w:cs="DecoType Naskh" w:hint="cs"/>
          <w:sz w:val="28"/>
          <w:szCs w:val="28"/>
          <w:rtl/>
          <w:lang w:bidi="ar-IQ"/>
        </w:rPr>
      </w:pPr>
      <w:r w:rsidRPr="00632433">
        <w:rPr>
          <w:rFonts w:cs="DecoType Naskh"/>
          <w:b/>
          <w:bCs/>
          <w:sz w:val="28"/>
          <w:szCs w:val="28"/>
          <w:rtl/>
          <w:lang w:bidi="ar-IQ"/>
        </w:rPr>
        <w:t xml:space="preserve">وتلت هذه الطبقة طبقة ثانية لمع فيها اسم الدِّينَوري أحمد2 بن جعفر الذي رحل من موطنه </w:t>
      </w:r>
      <w:proofErr w:type="spellStart"/>
      <w:r w:rsidRPr="00632433">
        <w:rPr>
          <w:rFonts w:cs="DecoType Naskh"/>
          <w:b/>
          <w:bCs/>
          <w:sz w:val="28"/>
          <w:szCs w:val="28"/>
          <w:rtl/>
          <w:lang w:bidi="ar-IQ"/>
        </w:rPr>
        <w:t>دينور</w:t>
      </w:r>
      <w:proofErr w:type="spellEnd"/>
      <w:r w:rsidRPr="00632433">
        <w:rPr>
          <w:rFonts w:cs="DecoType Naskh"/>
          <w:b/>
          <w:bCs/>
          <w:sz w:val="28"/>
          <w:szCs w:val="28"/>
          <w:rtl/>
          <w:lang w:bidi="ar-IQ"/>
        </w:rPr>
        <w:t xml:space="preserve"> إلى البصرة في طلب النحو، فأخذ عن المازني وحمل عنه كتاب سيبويه، ودخل إلى بغداد فأصهر إلى ثعلب، غير أنه كان يترك حلقته إلى حلقة المبرد، ثم قدم مصر واستقر بها يعلِّم النحو، وصنف لطلابه المصريين كتابا سماه "المهذب" ذكر في صدره اختلاف الكوفيين والبصريين، غير أنه لما أمعن فيه عوَّل على مذهب البصريين وخاصة على كتابات الأخفش الأوسط، وصنف في ضمائر القرآن مصنفا نوّه به القدماء, وقد توفي سنة 289 للهجرة.</w:t>
      </w:r>
    </w:p>
    <w:p w:rsidR="00632433" w:rsidRPr="00632433" w:rsidRDefault="00632433" w:rsidP="00632433">
      <w:pPr>
        <w:spacing w:after="0" w:line="240" w:lineRule="auto"/>
        <w:jc w:val="both"/>
        <w:rPr>
          <w:rFonts w:cs="DecoType Naskh"/>
          <w:sz w:val="28"/>
          <w:szCs w:val="28"/>
          <w:rtl/>
          <w:lang w:bidi="ar-IQ"/>
        </w:rPr>
      </w:pPr>
    </w:p>
    <w:p w:rsidR="00632433" w:rsidRPr="00632433" w:rsidRDefault="00632433" w:rsidP="00632433">
      <w:pPr>
        <w:spacing w:after="0" w:line="240" w:lineRule="auto"/>
        <w:jc w:val="both"/>
        <w:rPr>
          <w:rFonts w:cs="DecoType Naskh"/>
          <w:sz w:val="28"/>
          <w:szCs w:val="28"/>
          <w:rtl/>
          <w:lang w:bidi="ar-IQ"/>
        </w:rPr>
      </w:pPr>
    </w:p>
    <w:p w:rsidR="00632433" w:rsidRPr="00632433" w:rsidRDefault="00632433" w:rsidP="00632433">
      <w:pPr>
        <w:spacing w:after="0" w:line="240" w:lineRule="auto"/>
        <w:jc w:val="both"/>
        <w:rPr>
          <w:rFonts w:cs="DecoType Naskh"/>
          <w:sz w:val="28"/>
          <w:szCs w:val="28"/>
          <w:lang w:bidi="ar-IQ"/>
        </w:rPr>
      </w:pPr>
    </w:p>
    <w:sectPr w:rsidR="00632433" w:rsidRPr="00632433" w:rsidSect="003371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07"/>
    <w:rsid w:val="002A6707"/>
    <w:rsid w:val="00337172"/>
    <w:rsid w:val="00533465"/>
    <w:rsid w:val="00632433"/>
    <w:rsid w:val="006A0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Company>SACC - ANAS</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2</cp:revision>
  <dcterms:created xsi:type="dcterms:W3CDTF">2020-12-16T20:01:00Z</dcterms:created>
  <dcterms:modified xsi:type="dcterms:W3CDTF">2020-12-16T20:01:00Z</dcterms:modified>
</cp:coreProperties>
</file>