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84" w:rsidRPr="00637813" w:rsidRDefault="00EE6284" w:rsidP="00EE6284">
      <w:pPr>
        <w:spacing w:line="276" w:lineRule="auto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امعة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المستنصرية</w:t>
      </w:r>
      <w:proofErr w:type="spellEnd"/>
    </w:p>
    <w:p w:rsidR="00EE6284" w:rsidRPr="00637813" w:rsidRDefault="00EE6284" w:rsidP="00EE6284">
      <w:pPr>
        <w:spacing w:line="276" w:lineRule="auto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كلية الآداب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قسم الأعلام</w:t>
      </w:r>
    </w:p>
    <w:p w:rsidR="00EE6284" w:rsidRPr="00637813" w:rsidRDefault="00EE6284" w:rsidP="00EE6284">
      <w:pPr>
        <w:spacing w:line="276" w:lineRule="auto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rPr>
          <w:b/>
          <w:bCs/>
          <w:sz w:val="36"/>
          <w:szCs w:val="36"/>
          <w:rtl/>
          <w:lang w:bidi="ar-IQ"/>
        </w:rPr>
      </w:pPr>
    </w:p>
    <w:p w:rsidR="00EE6284" w:rsidRPr="007E40A6" w:rsidRDefault="00EE6284" w:rsidP="00EE6284">
      <w:pPr>
        <w:spacing w:line="276" w:lineRule="auto"/>
        <w:jc w:val="center"/>
        <w:rPr>
          <w:b/>
          <w:bCs/>
          <w:sz w:val="50"/>
          <w:szCs w:val="50"/>
          <w:rtl/>
          <w:lang w:bidi="ar-IQ"/>
        </w:rPr>
      </w:pPr>
      <w:proofErr w:type="gramStart"/>
      <w:r w:rsidRPr="007E40A6">
        <w:rPr>
          <w:rFonts w:hint="cs"/>
          <w:b/>
          <w:bCs/>
          <w:sz w:val="50"/>
          <w:szCs w:val="50"/>
          <w:rtl/>
          <w:lang w:bidi="ar-IQ"/>
        </w:rPr>
        <w:t>التحقيق</w:t>
      </w:r>
      <w:proofErr w:type="gramEnd"/>
      <w:r w:rsidRPr="007E40A6">
        <w:rPr>
          <w:rFonts w:hint="cs"/>
          <w:b/>
          <w:bCs/>
          <w:sz w:val="50"/>
          <w:szCs w:val="50"/>
          <w:rtl/>
          <w:lang w:bidi="ar-IQ"/>
        </w:rPr>
        <w:t xml:space="preserve"> الصحفي</w:t>
      </w:r>
    </w:p>
    <w:p w:rsidR="00EE6284" w:rsidRPr="007E40A6" w:rsidRDefault="00EE6284" w:rsidP="00EE6284">
      <w:pPr>
        <w:spacing w:line="276" w:lineRule="auto"/>
        <w:jc w:val="center"/>
        <w:rPr>
          <w:b/>
          <w:bCs/>
          <w:sz w:val="50"/>
          <w:szCs w:val="50"/>
          <w:rtl/>
          <w:lang w:bidi="ar-IQ"/>
        </w:rPr>
      </w:pPr>
      <w:proofErr w:type="gramStart"/>
      <w:r w:rsidRPr="007E40A6">
        <w:rPr>
          <w:rFonts w:hint="cs"/>
          <w:b/>
          <w:bCs/>
          <w:sz w:val="50"/>
          <w:szCs w:val="50"/>
          <w:rtl/>
          <w:lang w:bidi="ar-IQ"/>
        </w:rPr>
        <w:t>الحديث</w:t>
      </w:r>
      <w:proofErr w:type="gramEnd"/>
      <w:r w:rsidRPr="007E40A6">
        <w:rPr>
          <w:rFonts w:hint="cs"/>
          <w:b/>
          <w:bCs/>
          <w:sz w:val="50"/>
          <w:szCs w:val="50"/>
          <w:rtl/>
          <w:lang w:bidi="ar-IQ"/>
        </w:rPr>
        <w:t xml:space="preserve"> الصحفي</w:t>
      </w:r>
    </w:p>
    <w:p w:rsidR="00EE6284" w:rsidRPr="007E40A6" w:rsidRDefault="00EE6284" w:rsidP="00EE6284">
      <w:pPr>
        <w:spacing w:line="276" w:lineRule="auto"/>
        <w:jc w:val="center"/>
        <w:rPr>
          <w:b/>
          <w:bCs/>
          <w:sz w:val="50"/>
          <w:szCs w:val="50"/>
          <w:rtl/>
          <w:lang w:bidi="ar-IQ"/>
        </w:rPr>
      </w:pPr>
      <w:r w:rsidRPr="007E40A6">
        <w:rPr>
          <w:rFonts w:hint="cs"/>
          <w:b/>
          <w:bCs/>
          <w:sz w:val="50"/>
          <w:szCs w:val="50"/>
          <w:rtl/>
          <w:lang w:bidi="ar-IQ"/>
        </w:rPr>
        <w:t>( محاضرات مادة التحرير الصحفي للمرحلة الثانية)</w:t>
      </w:r>
    </w:p>
    <w:p w:rsidR="00EE6284" w:rsidRPr="00637813" w:rsidRDefault="00EE6284" w:rsidP="00EE6284">
      <w:pPr>
        <w:spacing w:line="276" w:lineRule="auto"/>
        <w:jc w:val="center"/>
        <w:rPr>
          <w:sz w:val="36"/>
          <w:szCs w:val="36"/>
          <w:rtl/>
          <w:lang w:bidi="ar-IQ"/>
        </w:rPr>
      </w:pPr>
      <w:r>
        <w:rPr>
          <w:rFonts w:hint="cs"/>
          <w:b/>
          <w:bCs/>
          <w:sz w:val="50"/>
          <w:szCs w:val="50"/>
          <w:rtl/>
          <w:lang w:bidi="ar-IQ"/>
        </w:rPr>
        <w:t>2018 - 2019</w:t>
      </w:r>
    </w:p>
    <w:p w:rsidR="00EE6284" w:rsidRPr="00637813" w:rsidRDefault="00EE6284" w:rsidP="00EE6284">
      <w:pPr>
        <w:spacing w:line="276" w:lineRule="auto"/>
        <w:jc w:val="center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jc w:val="center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jc w:val="center"/>
        <w:rPr>
          <w:sz w:val="36"/>
          <w:szCs w:val="36"/>
          <w:rtl/>
          <w:lang w:bidi="ar-IQ"/>
        </w:rPr>
      </w:pPr>
    </w:p>
    <w:p w:rsidR="00EE6284" w:rsidRPr="00637813" w:rsidRDefault="00EE6284" w:rsidP="00EE6284">
      <w:pPr>
        <w:spacing w:line="276" w:lineRule="auto"/>
        <w:jc w:val="center"/>
        <w:rPr>
          <w:sz w:val="36"/>
          <w:szCs w:val="36"/>
          <w:rtl/>
          <w:lang w:bidi="ar-IQ"/>
        </w:rPr>
      </w:pPr>
    </w:p>
    <w:p w:rsidR="00EE6284" w:rsidRPr="007E40A6" w:rsidRDefault="00EE6284" w:rsidP="00EE6284">
      <w:pPr>
        <w:spacing w:line="276" w:lineRule="auto"/>
        <w:ind w:left="5040"/>
        <w:jc w:val="center"/>
        <w:rPr>
          <w:b/>
          <w:bCs/>
          <w:sz w:val="44"/>
          <w:szCs w:val="44"/>
          <w:rtl/>
          <w:lang w:bidi="ar-IQ"/>
        </w:rPr>
      </w:pPr>
      <w:proofErr w:type="spellStart"/>
      <w:r w:rsidRPr="007E40A6">
        <w:rPr>
          <w:rFonts w:hint="cs"/>
          <w:b/>
          <w:bCs/>
          <w:sz w:val="44"/>
          <w:szCs w:val="44"/>
          <w:rtl/>
          <w:lang w:bidi="ar-IQ"/>
        </w:rPr>
        <w:t>الاستاذ</w:t>
      </w:r>
      <w:proofErr w:type="spellEnd"/>
      <w:r w:rsidRPr="007E40A6">
        <w:rPr>
          <w:rFonts w:hint="cs"/>
          <w:b/>
          <w:bCs/>
          <w:sz w:val="44"/>
          <w:szCs w:val="44"/>
          <w:rtl/>
          <w:lang w:bidi="ar-IQ"/>
        </w:rPr>
        <w:t xml:space="preserve"> المساعد</w:t>
      </w:r>
    </w:p>
    <w:p w:rsidR="00EE6284" w:rsidRDefault="00EE6284" w:rsidP="00EE6284">
      <w:pPr>
        <w:spacing w:line="276" w:lineRule="auto"/>
        <w:ind w:left="5040"/>
        <w:jc w:val="center"/>
        <w:rPr>
          <w:b/>
          <w:bCs/>
          <w:sz w:val="44"/>
          <w:szCs w:val="44"/>
          <w:rtl/>
          <w:lang w:bidi="ar-IQ"/>
        </w:rPr>
      </w:pPr>
      <w:r w:rsidRPr="007E40A6">
        <w:rPr>
          <w:rFonts w:hint="cs"/>
          <w:b/>
          <w:bCs/>
          <w:sz w:val="44"/>
          <w:szCs w:val="44"/>
          <w:rtl/>
          <w:lang w:bidi="ar-IQ"/>
        </w:rPr>
        <w:t xml:space="preserve">د. رجاء أل </w:t>
      </w:r>
      <w:proofErr w:type="spellStart"/>
      <w:r w:rsidRPr="007E40A6">
        <w:rPr>
          <w:rFonts w:hint="cs"/>
          <w:b/>
          <w:bCs/>
          <w:sz w:val="44"/>
          <w:szCs w:val="44"/>
          <w:rtl/>
          <w:lang w:bidi="ar-IQ"/>
        </w:rPr>
        <w:t>بهيش</w:t>
      </w:r>
      <w:proofErr w:type="spellEnd"/>
    </w:p>
    <w:p w:rsidR="00EE6284" w:rsidRDefault="00EE6284" w:rsidP="00EE6284">
      <w:pPr>
        <w:spacing w:line="276" w:lineRule="auto"/>
        <w:ind w:left="5040"/>
        <w:jc w:val="center"/>
        <w:rPr>
          <w:b/>
          <w:bCs/>
          <w:sz w:val="44"/>
          <w:szCs w:val="44"/>
          <w:rtl/>
          <w:lang w:bidi="ar-IQ"/>
        </w:rPr>
      </w:pPr>
    </w:p>
    <w:p w:rsidR="00EE6284" w:rsidRPr="00340274" w:rsidRDefault="00EE6284" w:rsidP="00EE6284">
      <w:pPr>
        <w:spacing w:line="276" w:lineRule="auto"/>
        <w:ind w:left="5040"/>
        <w:jc w:val="center"/>
        <w:rPr>
          <w:b/>
          <w:bCs/>
          <w:sz w:val="44"/>
          <w:szCs w:val="44"/>
          <w:rtl/>
          <w:lang w:bidi="ar-IQ"/>
        </w:rPr>
      </w:pPr>
    </w:p>
    <w:p w:rsidR="00EE6284" w:rsidRPr="00E05FC8" w:rsidRDefault="00EE6284" w:rsidP="00EE6284">
      <w:pPr>
        <w:pStyle w:val="a3"/>
        <w:numPr>
          <w:ilvl w:val="0"/>
          <w:numId w:val="2"/>
        </w:numPr>
        <w:spacing w:line="276" w:lineRule="auto"/>
        <w:jc w:val="center"/>
        <w:rPr>
          <w:b/>
          <w:bCs/>
          <w:sz w:val="40"/>
          <w:szCs w:val="40"/>
          <w:rtl/>
          <w:lang w:bidi="ar-IQ"/>
        </w:rPr>
      </w:pPr>
      <w:r w:rsidRPr="00E05FC8">
        <w:rPr>
          <w:rFonts w:hint="cs"/>
          <w:b/>
          <w:bCs/>
          <w:sz w:val="40"/>
          <w:szCs w:val="40"/>
          <w:rtl/>
          <w:lang w:bidi="ar-IQ"/>
        </w:rPr>
        <w:lastRenderedPageBreak/>
        <w:t xml:space="preserve">نظرية </w:t>
      </w:r>
      <w:proofErr w:type="spellStart"/>
      <w:r w:rsidRPr="00E05FC8">
        <w:rPr>
          <w:rFonts w:hint="cs"/>
          <w:b/>
          <w:bCs/>
          <w:sz w:val="40"/>
          <w:szCs w:val="40"/>
          <w:rtl/>
          <w:lang w:bidi="ar-IQ"/>
        </w:rPr>
        <w:t>الاجناس</w:t>
      </w:r>
      <w:proofErr w:type="spellEnd"/>
      <w:r w:rsidRPr="00E05FC8">
        <w:rPr>
          <w:rFonts w:hint="cs"/>
          <w:b/>
          <w:bCs/>
          <w:sz w:val="40"/>
          <w:szCs w:val="40"/>
          <w:rtl/>
          <w:lang w:bidi="ar-IQ"/>
        </w:rPr>
        <w:t xml:space="preserve"> الصحفية -</w:t>
      </w:r>
    </w:p>
    <w:p w:rsidR="00EE6284" w:rsidRPr="00637813" w:rsidRDefault="00EE6284" w:rsidP="00EE6284">
      <w:pPr>
        <w:spacing w:line="276" w:lineRule="auto"/>
        <w:ind w:left="-58"/>
        <w:jc w:val="center"/>
        <w:rPr>
          <w:b/>
          <w:bCs/>
          <w:sz w:val="36"/>
          <w:szCs w:val="36"/>
          <w:rtl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( </w:t>
      </w:r>
      <w:proofErr w:type="spellStart"/>
      <w:r w:rsidRPr="00637813">
        <w:rPr>
          <w:rFonts w:hint="cs"/>
          <w:b/>
          <w:bCs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الغاية الطبيعية لكل علم هو التصنيف </w:t>
      </w:r>
      <w:r w:rsidRPr="00637813">
        <w:rPr>
          <w:rFonts w:hint="eastAsia"/>
          <w:b/>
          <w:bCs/>
          <w:sz w:val="36"/>
          <w:szCs w:val="36"/>
          <w:rtl/>
          <w:lang w:bidi="ar-IQ"/>
        </w:rPr>
        <w:t>                                  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بنظام  للموضوعات التي تشكل مواد </w:t>
      </w:r>
      <w:proofErr w:type="spellStart"/>
      <w:r w:rsidRPr="00637813">
        <w:rPr>
          <w:rFonts w:hint="cs"/>
          <w:b/>
          <w:bCs/>
          <w:sz w:val="36"/>
          <w:szCs w:val="36"/>
          <w:rtl/>
          <w:lang w:bidi="ar-IQ"/>
        </w:rPr>
        <w:t>ابحاثة</w:t>
      </w:r>
      <w:proofErr w:type="spellEnd"/>
      <w:r w:rsidRPr="00637813">
        <w:rPr>
          <w:rFonts w:hint="cs"/>
          <w:b/>
          <w:bCs/>
          <w:sz w:val="36"/>
          <w:szCs w:val="36"/>
          <w:rtl/>
          <w:lang w:bidi="ar-IQ"/>
        </w:rPr>
        <w:t>).</w:t>
      </w:r>
    </w:p>
    <w:p w:rsidR="00EE6284" w:rsidRPr="00637813" w:rsidRDefault="00EE6284" w:rsidP="00EE6284">
      <w:pPr>
        <w:pStyle w:val="a3"/>
        <w:numPr>
          <w:ilvl w:val="0"/>
          <w:numId w:val="1"/>
        </w:numPr>
        <w:spacing w:line="276" w:lineRule="auto"/>
        <w:rPr>
          <w:b/>
          <w:bCs/>
          <w:sz w:val="36"/>
          <w:szCs w:val="36"/>
          <w:lang w:bidi="ar-IQ"/>
        </w:rPr>
      </w:pPr>
      <w:proofErr w:type="spellStart"/>
      <w:r w:rsidRPr="00637813">
        <w:rPr>
          <w:rFonts w:hint="cs"/>
          <w:b/>
          <w:bCs/>
          <w:sz w:val="36"/>
          <w:szCs w:val="36"/>
          <w:rtl/>
          <w:lang w:bidi="ar-IQ"/>
        </w:rPr>
        <w:t>برونيتيير</w:t>
      </w:r>
      <w:proofErr w:type="spellEnd"/>
      <w:r w:rsidRPr="00637813">
        <w:rPr>
          <w:rFonts w:hint="cs"/>
          <w:b/>
          <w:bCs/>
          <w:sz w:val="36"/>
          <w:szCs w:val="36"/>
          <w:rtl/>
          <w:lang w:bidi="ar-IQ"/>
        </w:rPr>
        <w:t>-</w:t>
      </w:r>
    </w:p>
    <w:p w:rsidR="00EE6284" w:rsidRPr="00637813" w:rsidRDefault="00EE6284" w:rsidP="00EE6284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لسبب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ظل الاهتمام بنظرية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مقتصراً على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منذ تصنيفات 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افلاطون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) و 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ارسطو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، حتى ال</w:t>
      </w:r>
      <w:r>
        <w:rPr>
          <w:rFonts w:hint="cs"/>
          <w:sz w:val="36"/>
          <w:szCs w:val="36"/>
          <w:rtl/>
          <w:lang w:bidi="ar-IQ"/>
        </w:rPr>
        <w:t xml:space="preserve">ربع </w:t>
      </w:r>
      <w:proofErr w:type="spellStart"/>
      <w:r>
        <w:rPr>
          <w:rFonts w:hint="cs"/>
          <w:sz w:val="36"/>
          <w:szCs w:val="36"/>
          <w:rtl/>
          <w:lang w:bidi="ar-IQ"/>
        </w:rPr>
        <w:t>الاخير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الألفية </w:t>
      </w:r>
      <w:proofErr w:type="spellStart"/>
      <w:r>
        <w:rPr>
          <w:rFonts w:hint="cs"/>
          <w:sz w:val="36"/>
          <w:szCs w:val="36"/>
          <w:rtl/>
          <w:lang w:bidi="ar-IQ"/>
        </w:rPr>
        <w:t>الثالية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</w:t>
      </w:r>
      <w:r w:rsidRPr="00637813">
        <w:rPr>
          <w:rFonts w:hint="cs"/>
          <w:sz w:val="36"/>
          <w:szCs w:val="36"/>
          <w:rtl/>
          <w:lang w:bidi="ar-IQ"/>
        </w:rPr>
        <w:t xml:space="preserve">بداية القرن الحالي، حيث ظهر الاهتمام بدراسة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الخطابات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 ومن  ضمنها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بالرغم من قدم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 بالتأكيد كان لنقلة     الفرص الخطابية التي قام </w:t>
      </w:r>
      <w:proofErr w:type="spellStart"/>
      <w:r>
        <w:rPr>
          <w:rFonts w:hint="cs"/>
          <w:sz w:val="36"/>
          <w:szCs w:val="36"/>
          <w:rtl/>
          <w:lang w:bidi="ar-IQ"/>
        </w:rPr>
        <w:t>بها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 مطلع القرن الماضي ، (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الشكلانيون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الروس)، بالتفريق  بين اللغة الأدبية واللغة اليومية، والتأكيد على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تطور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</w:t>
      </w:r>
      <w:r>
        <w:rPr>
          <w:rFonts w:hint="cs"/>
          <w:sz w:val="36"/>
          <w:szCs w:val="36"/>
          <w:rtl/>
          <w:lang w:bidi="ar-IQ"/>
        </w:rPr>
        <w:t>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لا يسير وفق اتجاه خطي تراكمي-</w:t>
      </w:r>
      <w:r w:rsidRPr="00637813">
        <w:rPr>
          <w:rFonts w:hint="cs"/>
          <w:sz w:val="36"/>
          <w:szCs w:val="36"/>
          <w:rtl/>
          <w:lang w:bidi="ar-IQ"/>
        </w:rPr>
        <w:t xml:space="preserve">بل هو  ضرب من التتابع،  قوامه الصراع والقطيعة،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فالاجناس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كما هو الحال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كما يقول(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توماشفسكي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): ( تولد وتعيش ثم</w:t>
      </w:r>
      <w:r>
        <w:rPr>
          <w:rFonts w:hint="cs"/>
          <w:sz w:val="36"/>
          <w:szCs w:val="36"/>
          <w:rtl/>
          <w:lang w:bidi="ar-IQ"/>
        </w:rPr>
        <w:t xml:space="preserve"> تشيخ و تموت ). وبذلك تغير التعامل مع الجنس من اعتباره قائمة قواعد للكتابة مغلقة ,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النظر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اليه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على انه كائن حي ذو وجود تأريخي وامتداد اجتماعي، وتحولت نظرية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التعلق بالتنظير والتقعيد  والتحديد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lastRenderedPageBreak/>
        <w:t>ال</w:t>
      </w:r>
      <w:r>
        <w:rPr>
          <w:rFonts w:hint="cs"/>
          <w:sz w:val="36"/>
          <w:szCs w:val="36"/>
          <w:rtl/>
          <w:lang w:bidi="ar-IQ"/>
        </w:rPr>
        <w:t>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الدرس الوصفي   أنياً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وزمانياً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. حيث قطعت نظرية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الأدبية  شوطاً هاماً ومثيراً فيما ظلت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الصحفية بعيدة عن  الدراسة الشاملة في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الادبيات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فيما لا 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تزال تعاني فقراً مدته</w:t>
      </w:r>
      <w:r w:rsidRPr="00637813">
        <w:rPr>
          <w:rFonts w:hint="cs"/>
          <w:sz w:val="36"/>
          <w:szCs w:val="36"/>
          <w:rtl/>
          <w:lang w:bidi="ar-IQ"/>
        </w:rPr>
        <w:t xml:space="preserve">اً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الادبيات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العربية، وحتى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تتحدث هذه الأدبيات عن ( الفنون الصحفي</w:t>
      </w:r>
      <w:r>
        <w:rPr>
          <w:rFonts w:hint="cs"/>
          <w:sz w:val="36"/>
          <w:szCs w:val="36"/>
          <w:rtl/>
          <w:lang w:bidi="ar-IQ"/>
        </w:rPr>
        <w:t>ة) وأش</w:t>
      </w:r>
      <w:r w:rsidRPr="00637813">
        <w:rPr>
          <w:rFonts w:hint="cs"/>
          <w:sz w:val="36"/>
          <w:szCs w:val="36"/>
          <w:rtl/>
          <w:lang w:bidi="ar-IQ"/>
        </w:rPr>
        <w:t xml:space="preserve">كال التحرير الصحفي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والاعلامي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حتى في الدرس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الاكاديمي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معاهد وكليات الأعلام العربية</w:t>
      </w:r>
      <w:r>
        <w:rPr>
          <w:rFonts w:hint="cs"/>
          <w:sz w:val="36"/>
          <w:szCs w:val="36"/>
          <w:rtl/>
          <w:lang w:bidi="ar-IQ"/>
        </w:rPr>
        <w:t xml:space="preserve"> التي ما زالت ترزح</w:t>
      </w:r>
      <w:r w:rsidRPr="00637813">
        <w:rPr>
          <w:rFonts w:hint="cs"/>
          <w:sz w:val="36"/>
          <w:szCs w:val="36"/>
          <w:rtl/>
          <w:lang w:bidi="ar-IQ"/>
        </w:rPr>
        <w:t xml:space="preserve"> تحت المناهج الأدبية لكون اغلبها نشأ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احضان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كليات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الاداب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وتعيش تحت وطأة(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البرادغيم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) الأميركي- المصري الضاغط على الدراسات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والصحفية، حيث عاش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اكاديميون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وطلبة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بحبوبة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هذا الأنموذج وغادر الكثير منهم الجامعة دون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يلقوا نظرة على العالم الآخر.</w:t>
      </w:r>
    </w:p>
    <w:p w:rsidR="00EE6284" w:rsidRDefault="00EE6284" w:rsidP="00EE6284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وهو أنموذج </w:t>
      </w:r>
      <w:r>
        <w:rPr>
          <w:rFonts w:hint="cs"/>
          <w:sz w:val="36"/>
          <w:szCs w:val="36"/>
          <w:rtl/>
          <w:lang w:bidi="ar-IQ"/>
        </w:rPr>
        <w:t xml:space="preserve"> قائم على </w:t>
      </w:r>
      <w:proofErr w:type="spellStart"/>
      <w:r>
        <w:rPr>
          <w:rFonts w:hint="cs"/>
          <w:sz w:val="36"/>
          <w:szCs w:val="36"/>
          <w:rtl/>
          <w:lang w:bidi="ar-IQ"/>
        </w:rPr>
        <w:t>الترجعة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 xml:space="preserve">لمصرية للكتب  التجارية </w:t>
      </w:r>
      <w:proofErr w:type="spellStart"/>
      <w:r>
        <w:rPr>
          <w:rFonts w:hint="cs"/>
          <w:sz w:val="36"/>
          <w:szCs w:val="36"/>
          <w:rtl/>
          <w:lang w:bidi="ar-IQ"/>
        </w:rPr>
        <w:t>الاميركية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التي تتحدث عن الأعلام والصحافة لذا لم تلق المناهج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السيميائية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واللسانية الحديثة اهتماماً يواكب التطورات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السريعة في العالم، وظلت دراسة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والصحفية بعيدة عن دائرة الاهتمام في حين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دراستها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اكثر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قيمة  ونفعاً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للدراسين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والعاملين في حقوق الأعلام المختلفة.</w:t>
      </w:r>
    </w:p>
    <w:p w:rsidR="00EE6284" w:rsidRPr="00637813" w:rsidRDefault="00EE6284" w:rsidP="00EE6284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فما الذي نعنيه </w:t>
      </w:r>
      <w:proofErr w:type="spellStart"/>
      <w:r>
        <w:rPr>
          <w:rFonts w:hint="cs"/>
          <w:sz w:val="36"/>
          <w:szCs w:val="36"/>
          <w:rtl/>
          <w:lang w:bidi="ar-IQ"/>
        </w:rPr>
        <w:t>بـ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( </w:t>
      </w:r>
      <w:proofErr w:type="spellStart"/>
      <w:r>
        <w:rPr>
          <w:rFonts w:hint="cs"/>
          <w:sz w:val="36"/>
          <w:szCs w:val="36"/>
          <w:rtl/>
          <w:lang w:bidi="ar-IQ"/>
        </w:rPr>
        <w:t>الاجناس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الصحفية ) </w:t>
      </w:r>
      <w:r w:rsidRPr="00637813">
        <w:rPr>
          <w:rFonts w:hint="cs"/>
          <w:sz w:val="36"/>
          <w:szCs w:val="36"/>
          <w:rtl/>
          <w:lang w:bidi="ar-IQ"/>
        </w:rPr>
        <w:t xml:space="preserve">وما هو مفهوم الجنس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اطاره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النظري..؟ ولنبدأ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بالتأثيل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اللغوي.. للمصلح في اللغة العربية.</w:t>
      </w:r>
    </w:p>
    <w:p w:rsidR="00EE6284" w:rsidRPr="00637813" w:rsidRDefault="00EE6284" w:rsidP="00EE6284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الجنس بالكسر اعم  من النوع، وهو كل  ضرب من الشيء والناس والطير وحدود النحو والعروض والأشياء، ويجمع على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والجنيس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العريق</w:t>
      </w:r>
      <w:r w:rsidRPr="00637813">
        <w:rPr>
          <w:rFonts w:hint="cs"/>
          <w:sz w:val="36"/>
          <w:szCs w:val="36"/>
          <w:rtl/>
          <w:lang w:bidi="ar-IQ"/>
        </w:rPr>
        <w:t xml:space="preserve"> في جنسه، والمجانس المشاكل بضم الميم وفتح الشين. والتجنيس تفعيل من الجنس 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والاصمعي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واضع </w:t>
      </w:r>
      <w:r>
        <w:rPr>
          <w:rFonts w:hint="cs"/>
          <w:sz w:val="36"/>
          <w:szCs w:val="36"/>
          <w:rtl/>
          <w:lang w:bidi="ar-IQ"/>
        </w:rPr>
        <w:t xml:space="preserve">كتاب </w:t>
      </w:r>
      <w:proofErr w:type="spellStart"/>
      <w:r>
        <w:rPr>
          <w:rFonts w:hint="cs"/>
          <w:sz w:val="36"/>
          <w:szCs w:val="36"/>
          <w:rtl/>
          <w:lang w:bidi="ar-IQ"/>
        </w:rPr>
        <w:t>الاجتاس</w:t>
      </w:r>
      <w:proofErr w:type="spellEnd"/>
      <w:r>
        <w:rPr>
          <w:rFonts w:hint="cs"/>
          <w:sz w:val="36"/>
          <w:szCs w:val="36"/>
          <w:rtl/>
          <w:lang w:bidi="ar-IQ"/>
        </w:rPr>
        <w:t>) هو أول من جاء بهذه التسمية</w:t>
      </w:r>
      <w:r w:rsidRPr="00637813">
        <w:rPr>
          <w:rFonts w:hint="cs"/>
          <w:sz w:val="36"/>
          <w:szCs w:val="36"/>
          <w:rtl/>
          <w:lang w:bidi="ar-IQ"/>
        </w:rPr>
        <w:t xml:space="preserve"> حسبما تورد المعاجم العربية، فيما تحيل لفظة جنس( </w:t>
      </w:r>
      <w:r w:rsidRPr="00637813">
        <w:rPr>
          <w:sz w:val="36"/>
          <w:szCs w:val="36"/>
          <w:lang w:bidi="ar-IQ"/>
        </w:rPr>
        <w:t>Genre)</w:t>
      </w:r>
      <w:r w:rsidRPr="00637813">
        <w:rPr>
          <w:rFonts w:hint="cs"/>
          <w:sz w:val="36"/>
          <w:szCs w:val="36"/>
          <w:rtl/>
          <w:lang w:bidi="ar-IQ"/>
        </w:rPr>
        <w:t xml:space="preserve"> ) في الانكليزية والفرنسية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اصولها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باللاتينية على  معنيي :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الاصل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sz w:val="36"/>
          <w:szCs w:val="36"/>
          <w:lang w:bidi="ar-IQ"/>
        </w:rPr>
        <w:t>(Genus)</w:t>
      </w:r>
      <w:r w:rsidRPr="00637813">
        <w:rPr>
          <w:rFonts w:hint="cs"/>
          <w:sz w:val="36"/>
          <w:szCs w:val="36"/>
          <w:rtl/>
          <w:lang w:bidi="ar-IQ"/>
        </w:rPr>
        <w:t xml:space="preserve"> والولادة </w:t>
      </w:r>
      <w:r w:rsidRPr="00637813">
        <w:rPr>
          <w:sz w:val="36"/>
          <w:szCs w:val="36"/>
          <w:lang w:bidi="ar-IQ"/>
        </w:rPr>
        <w:t>(Generis)</w:t>
      </w:r>
      <w:r w:rsidRPr="00637813">
        <w:rPr>
          <w:rFonts w:hint="cs"/>
          <w:sz w:val="36"/>
          <w:szCs w:val="36"/>
          <w:rtl/>
          <w:lang w:bidi="ar-IQ"/>
        </w:rPr>
        <w:t xml:space="preserve"> وترد مرادفة في المعاجم الانكليزية </w:t>
      </w:r>
      <w:r>
        <w:rPr>
          <w:rFonts w:hint="cs"/>
          <w:sz w:val="36"/>
          <w:szCs w:val="36"/>
          <w:rtl/>
          <w:lang w:bidi="ar-IQ"/>
        </w:rPr>
        <w:t xml:space="preserve">: </w:t>
      </w:r>
      <w:r w:rsidRPr="00637813">
        <w:rPr>
          <w:rFonts w:hint="cs"/>
          <w:sz w:val="36"/>
          <w:szCs w:val="36"/>
          <w:rtl/>
          <w:lang w:bidi="ar-IQ"/>
        </w:rPr>
        <w:t>(</w:t>
      </w:r>
      <w:r w:rsidRPr="00637813">
        <w:rPr>
          <w:sz w:val="36"/>
          <w:szCs w:val="36"/>
          <w:lang w:bidi="ar-IQ"/>
        </w:rPr>
        <w:t xml:space="preserve">kind </w:t>
      </w:r>
      <w:r w:rsidRPr="00637813">
        <w:rPr>
          <w:rFonts w:hint="cs"/>
          <w:sz w:val="36"/>
          <w:szCs w:val="36"/>
          <w:rtl/>
          <w:lang w:bidi="ar-IQ"/>
        </w:rPr>
        <w:t xml:space="preserve"> , </w:t>
      </w:r>
      <w:r w:rsidRPr="00637813">
        <w:rPr>
          <w:sz w:val="36"/>
          <w:szCs w:val="36"/>
          <w:lang w:bidi="ar-IQ"/>
        </w:rPr>
        <w:t>gender</w:t>
      </w:r>
      <w:r w:rsidRPr="00637813">
        <w:rPr>
          <w:rFonts w:hint="cs"/>
          <w:sz w:val="36"/>
          <w:szCs w:val="36"/>
          <w:rtl/>
          <w:lang w:bidi="ar-IQ"/>
        </w:rPr>
        <w:t xml:space="preserve"> ،</w:t>
      </w:r>
      <w:r w:rsidRPr="00637813">
        <w:rPr>
          <w:sz w:val="36"/>
          <w:szCs w:val="36"/>
          <w:lang w:bidi="ar-IQ"/>
        </w:rPr>
        <w:t>race</w:t>
      </w:r>
      <w:r w:rsidRPr="00637813">
        <w:rPr>
          <w:rFonts w:hint="cs"/>
          <w:sz w:val="36"/>
          <w:szCs w:val="36"/>
          <w:rtl/>
          <w:lang w:bidi="ar-IQ"/>
        </w:rPr>
        <w:t xml:space="preserve"> ، </w:t>
      </w:r>
      <w:r w:rsidRPr="00637813">
        <w:rPr>
          <w:sz w:val="36"/>
          <w:szCs w:val="36"/>
          <w:lang w:bidi="ar-IQ"/>
        </w:rPr>
        <w:t>style</w:t>
      </w:r>
      <w:r w:rsidRPr="00637813">
        <w:rPr>
          <w:rFonts w:hint="cs"/>
          <w:sz w:val="36"/>
          <w:szCs w:val="36"/>
          <w:rtl/>
          <w:lang w:bidi="ar-IQ"/>
        </w:rPr>
        <w:t xml:space="preserve"> ،</w:t>
      </w:r>
      <w:r w:rsidRPr="00637813">
        <w:rPr>
          <w:sz w:val="36"/>
          <w:szCs w:val="36"/>
          <w:lang w:bidi="ar-IQ"/>
        </w:rPr>
        <w:t xml:space="preserve"> sort</w:t>
      </w:r>
      <w:r w:rsidRPr="00637813">
        <w:rPr>
          <w:rFonts w:hint="cs"/>
          <w:sz w:val="36"/>
          <w:szCs w:val="36"/>
          <w:rtl/>
          <w:lang w:bidi="ar-IQ"/>
        </w:rPr>
        <w:t>)، وهي تدل جميعاً على معا</w:t>
      </w:r>
      <w:r>
        <w:rPr>
          <w:rFonts w:hint="cs"/>
          <w:sz w:val="36"/>
          <w:szCs w:val="36"/>
          <w:rtl/>
          <w:lang w:bidi="ar-IQ"/>
        </w:rPr>
        <w:t xml:space="preserve">ني </w:t>
      </w:r>
      <w:proofErr w:type="spellStart"/>
      <w:r>
        <w:rPr>
          <w:rFonts w:hint="cs"/>
          <w:sz w:val="36"/>
          <w:szCs w:val="36"/>
          <w:rtl/>
          <w:lang w:bidi="ar-IQ"/>
        </w:rPr>
        <w:t>الاصل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والجنس والنوع  والنمط .</w:t>
      </w:r>
    </w:p>
    <w:p w:rsidR="00EE6284" w:rsidRDefault="00EE6284" w:rsidP="00EE6284">
      <w:pPr>
        <w:spacing w:before="240" w:after="240" w:line="276" w:lineRule="auto"/>
        <w:ind w:firstLine="509"/>
        <w:jc w:val="mediumKashida"/>
        <w:rPr>
          <w:rFonts w:ascii="Simplified Arabic" w:hAnsi="Simplified Arabic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وتشترك التأثيرات</w:t>
      </w:r>
      <w:r w:rsidRPr="00637813">
        <w:rPr>
          <w:rFonts w:hint="cs"/>
          <w:sz w:val="36"/>
          <w:szCs w:val="36"/>
          <w:rtl/>
          <w:lang w:bidi="ar-IQ"/>
        </w:rPr>
        <w:t xml:space="preserve"> اللغوية في العربية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والاجنبية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جميعاً، في الدلالة على التشابه والاشتراك بين مجموعة </w:t>
      </w:r>
      <w:r>
        <w:rPr>
          <w:rFonts w:hint="cs"/>
          <w:sz w:val="36"/>
          <w:szCs w:val="36"/>
          <w:rtl/>
          <w:lang w:bidi="ar-IQ"/>
        </w:rPr>
        <w:t xml:space="preserve">من العناصر المتألقة المتفرعة عن أنموذج أصلي واحد , وهذا ما يبدو بوضوح في الأجناس </w:t>
      </w:r>
      <w:proofErr w:type="spellStart"/>
      <w:r>
        <w:rPr>
          <w:rFonts w:hint="cs"/>
          <w:sz w:val="36"/>
          <w:szCs w:val="36"/>
          <w:rtl/>
          <w:lang w:bidi="ar-IQ"/>
        </w:rPr>
        <w:t>الاوربية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( شعر , قصة , رواية , مسرحية ... الخ ) , مثلما يتبدى في ( </w:t>
      </w:r>
      <w:proofErr w:type="spellStart"/>
      <w:r>
        <w:rPr>
          <w:rFonts w:hint="cs"/>
          <w:sz w:val="36"/>
          <w:szCs w:val="36"/>
          <w:rtl/>
          <w:lang w:bidi="ar-IQ"/>
        </w:rPr>
        <w:t>الاجناس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الصحفية ) كمقولة تسمح بالجمع بين عدد من النصوص , حسب معايير مختلفة و ترسي في الوقت </w:t>
      </w:r>
      <w:r>
        <w:rPr>
          <w:rFonts w:hint="cs"/>
          <w:sz w:val="36"/>
          <w:szCs w:val="36"/>
          <w:rtl/>
          <w:lang w:bidi="ar-IQ"/>
        </w:rPr>
        <w:lastRenderedPageBreak/>
        <w:t xml:space="preserve">نفسه ذاته </w:t>
      </w:r>
      <w:r>
        <w:rPr>
          <w:rFonts w:ascii="Simplified Arabic" w:hAnsi="Simplified Arabic"/>
          <w:sz w:val="36"/>
          <w:szCs w:val="36"/>
          <w:rtl/>
          <w:lang w:bidi="ar-IQ"/>
        </w:rPr>
        <w:t>؛</w:t>
      </w:r>
      <w:r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قواعد </w:t>
      </w:r>
      <w:proofErr w:type="spellStart"/>
      <w:r>
        <w:rPr>
          <w:rFonts w:hint="cs"/>
          <w:sz w:val="36"/>
          <w:szCs w:val="36"/>
          <w:rtl/>
          <w:lang w:bidi="ar-IQ"/>
        </w:rPr>
        <w:t>لانتاج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هذه النصوص شكليا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r>
        <w:rPr>
          <w:rFonts w:ascii="Simplified Arabic" w:hAnsi="Simplified Arabic" w:hint="cs"/>
          <w:sz w:val="36"/>
          <w:szCs w:val="36"/>
          <w:rtl/>
          <w:lang w:bidi="ar-IQ"/>
        </w:rPr>
        <w:t xml:space="preserve"> وفقآ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r>
        <w:rPr>
          <w:rFonts w:ascii="Simplified Arabic" w:hAnsi="Simplified Arabic"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Simplified Arabic" w:hAnsi="Simplified Arabic" w:hint="cs"/>
          <w:sz w:val="36"/>
          <w:szCs w:val="36"/>
          <w:rtl/>
          <w:lang w:bidi="ar-IQ"/>
        </w:rPr>
        <w:t>لاسس</w:t>
      </w:r>
      <w:proofErr w:type="spellEnd"/>
      <w:r>
        <w:rPr>
          <w:rFonts w:ascii="Simplified Arabic" w:hAnsi="Simplified Arabic" w:hint="cs"/>
          <w:sz w:val="36"/>
          <w:szCs w:val="36"/>
          <w:rtl/>
          <w:lang w:bidi="ar-IQ"/>
        </w:rPr>
        <w:t xml:space="preserve"> إخراجية صحيفة معينة , و قواعد لقراءتها , وتأويلها و تفسيرها من قبل المتلقي . 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C6F"/>
    <w:multiLevelType w:val="hybridMultilevel"/>
    <w:tmpl w:val="D7A8E912"/>
    <w:lvl w:ilvl="0" w:tplc="DABC0568">
      <w:start w:val="8"/>
      <w:numFmt w:val="bullet"/>
      <w:lvlText w:val="-"/>
      <w:lvlJc w:val="left"/>
      <w:pPr>
        <w:ind w:left="6347" w:hanging="360"/>
      </w:pPr>
      <w:rPr>
        <w:rFonts w:ascii="Times New Roman" w:eastAsiaTheme="minorHAns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7" w:hanging="360"/>
      </w:pPr>
      <w:rPr>
        <w:rFonts w:ascii="Wingdings" w:hAnsi="Wingdings" w:hint="default"/>
      </w:rPr>
    </w:lvl>
  </w:abstractNum>
  <w:abstractNum w:abstractNumId="1">
    <w:nsid w:val="43EF5F19"/>
    <w:multiLevelType w:val="hybridMultilevel"/>
    <w:tmpl w:val="A4223486"/>
    <w:lvl w:ilvl="0" w:tplc="0BF4026E">
      <w:start w:val="8"/>
      <w:numFmt w:val="bullet"/>
      <w:lvlText w:val="-"/>
      <w:lvlJc w:val="left"/>
      <w:pPr>
        <w:ind w:left="302" w:hanging="360"/>
      </w:pPr>
      <w:rPr>
        <w:rFonts w:ascii="Times New Roman" w:eastAsiaTheme="minorHAns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284"/>
    <w:rsid w:val="00661CDC"/>
    <w:rsid w:val="00EA2D11"/>
    <w:rsid w:val="00E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84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2005-01-24T23:19:00Z</dcterms:created>
  <dcterms:modified xsi:type="dcterms:W3CDTF">2005-01-24T23:21:00Z</dcterms:modified>
</cp:coreProperties>
</file>