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2D" w:rsidRDefault="00DD532D" w:rsidP="00DD532D">
      <w:pPr>
        <w:spacing w:after="0" w:line="240" w:lineRule="auto"/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</w:pPr>
      <w:r>
        <w:rPr>
          <w:rFonts w:ascii="Simplified Arabic" w:eastAsia="Times New Roman" w:hAnsi="Simplified Arabic" w:cs="Simplified Arabic" w:hint="cs"/>
          <w:b/>
          <w:bCs/>
          <w:color w:val="000000"/>
          <w:sz w:val="24"/>
          <w:szCs w:val="24"/>
          <w:rtl/>
        </w:rPr>
        <w:t>المحاضرة العاشرة</w:t>
      </w:r>
    </w:p>
    <w:p w:rsidR="00DD532D" w:rsidRPr="00DD532D" w:rsidRDefault="00DD532D" w:rsidP="00DD532D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 xml:space="preserve">700 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الفنون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</w:t>
      </w:r>
      <w:r w:rsidRPr="00DD53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MN</w:t>
      </w:r>
      <w:r w:rsidRPr="00DD532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فصلت الموسيقي ورقمها في تصنيف ديوي 780 عن الفن وخصص لها تصنيف </w:t>
      </w:r>
      <w:proofErr w:type="spellStart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مكتة</w:t>
      </w:r>
      <w:proofErr w:type="spellEnd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الكونجرس باب مستقل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M 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أما بالنسبة لبقية الفنون في تصنيف ديوي العشري (تصوير، نحت، رسم....) فهي توجد في تصنيف مكتبة الكونجرس في حرف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N 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أما 790 (</w:t>
      </w:r>
      <w:proofErr w:type="spellStart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الالعاب</w:t>
      </w:r>
      <w:proofErr w:type="spellEnd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والتسلية) فقد وضعت تحت تصنيف مكتبة الكونجرس ضمن الجغرافيا </w:t>
      </w:r>
      <w:proofErr w:type="spellStart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واخذت</w:t>
      </w:r>
      <w:proofErr w:type="spellEnd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الحرف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GV</w:t>
      </w:r>
      <w:r w:rsidRPr="00DD532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D532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 xml:space="preserve">900 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التاريخ والجغرافيا الرحلات والتراجم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 xml:space="preserve"> = </w:t>
      </w:r>
      <w:r w:rsidRPr="00DD532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 D E F G </w:t>
      </w:r>
      <w:r w:rsidRPr="00DD532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يقابل 900 في تصنيف مكتبة الكونجرس العلوم المساعدة للتاريخ، وقد وضعت في حرف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C 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مثل </w:t>
      </w:r>
      <w:proofErr w:type="spellStart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الأثار</w:t>
      </w:r>
      <w:proofErr w:type="spellEnd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والنقوش، </w:t>
      </w:r>
      <w:proofErr w:type="spellStart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اما</w:t>
      </w:r>
      <w:proofErr w:type="spellEnd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تاريخ العالم القديم والحديث فقد وضع في باب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D 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أما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E 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و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F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فقد خصص لتاريخ الولايات المتحدة الأمريكية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. </w:t>
      </w:r>
      <w:r w:rsidRPr="00DD532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D532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أما حرف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G 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خاص بالجغرافيا </w:t>
      </w:r>
      <w:proofErr w:type="spellStart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والانثربولوجيا</w:t>
      </w:r>
      <w:proofErr w:type="spellEnd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(تضم العادات والتقاليد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)</w:t>
      </w:r>
      <w:r w:rsidRPr="00DD532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D532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وقد فصل ديوي التاريخ عن الرحلات والوصف فصلاً غير مناسب </w:t>
      </w:r>
      <w:proofErr w:type="spellStart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اما</w:t>
      </w:r>
      <w:proofErr w:type="spellEnd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التراجم فنجد </w:t>
      </w:r>
      <w:proofErr w:type="spellStart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انها</w:t>
      </w:r>
      <w:proofErr w:type="spellEnd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في تصنيف ديوي في رتبت بطريقة تتفق مع التصنيف كله من الناحية التذكرية وبدرجات </w:t>
      </w:r>
      <w:proofErr w:type="spellStart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متفاوته</w:t>
      </w:r>
      <w:proofErr w:type="spellEnd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كما يسمح بتفرع التراجم عن الموضوع باستخدام الشكل 092 كما جاء الترتيب </w:t>
      </w:r>
      <w:proofErr w:type="spellStart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الابجدي</w:t>
      </w:r>
      <w:proofErr w:type="spellEnd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المبسط بواسطة صاحب السيرة الذاتية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. </w:t>
      </w:r>
      <w:r w:rsidRPr="00DD532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أما في تصنيف مكتبة الكونجرس فقط قصر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CT 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على التراجم المجمعة فقط في 920 في ديوي وذلك لأن تصنيف مكتبة الكونجرس يوزع التراجم من خلال الخطة حسب الموضوعات ويعطي التاريخ السياسي العام فقط داخل الموضوعات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C D E F G 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وجمع تصنيف الكونجرس كل </w:t>
      </w:r>
      <w:proofErr w:type="spellStart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لنواع</w:t>
      </w:r>
      <w:proofErr w:type="spellEnd"/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 xml:space="preserve"> الجغرافيات في حرف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 G 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  <w:rtl/>
        </w:rPr>
        <w:t>فيما عدا الجغرافيا الاقتصادية أخذت</w:t>
      </w:r>
      <w:r w:rsidRPr="00DD532D">
        <w:rPr>
          <w:rFonts w:ascii="Simplified Arabic" w:eastAsia="Times New Roman" w:hAnsi="Simplified Arabic" w:cs="Simplified Arabic"/>
          <w:b/>
          <w:bCs/>
          <w:color w:val="000000"/>
          <w:sz w:val="24"/>
          <w:szCs w:val="24"/>
        </w:rPr>
        <w:t>HC.</w:t>
      </w:r>
    </w:p>
    <w:p w:rsidR="00BF4F54" w:rsidRDefault="00DD532D" w:rsidP="00DD532D">
      <w:pPr>
        <w:rPr>
          <w:rFonts w:hint="cs"/>
          <w:lang w:bidi="ar-IQ"/>
        </w:rPr>
      </w:pPr>
      <w:r w:rsidRPr="00DD532D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</w:p>
    <w:sectPr w:rsidR="00BF4F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D532D"/>
    <w:rsid w:val="00BF4F54"/>
    <w:rsid w:val="00DD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</cp:revision>
  <dcterms:created xsi:type="dcterms:W3CDTF">2018-01-02T18:50:00Z</dcterms:created>
  <dcterms:modified xsi:type="dcterms:W3CDTF">2018-01-02T18:51:00Z</dcterms:modified>
</cp:coreProperties>
</file>