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7C" w:rsidRDefault="00EA4D7C" w:rsidP="00EA4D7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EA4D7C" w:rsidRDefault="00EA4D7C" w:rsidP="00EA4D7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EA4D7C" w:rsidRDefault="00EA4D7C" w:rsidP="00EA4D7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EA4D7C" w:rsidRDefault="00EA4D7C" w:rsidP="00EA4D7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EA4D7C" w:rsidRPr="00C211D7" w:rsidRDefault="00EA4D7C" w:rsidP="00EA4D7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EA4D7C" w:rsidRPr="00EA4D7C" w:rsidRDefault="00EA4D7C" w:rsidP="00EA4D7C">
      <w:pPr>
        <w:rPr>
          <w:rFonts w:hint="cs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المحاضرة الثامنة عشر</w:t>
      </w:r>
    </w:p>
    <w:p w:rsidR="00EA4D7C" w:rsidRPr="00EA4D7C" w:rsidRDefault="00EA4D7C" w:rsidP="00EA4D7C">
      <w:pPr>
        <w:rPr>
          <w:sz w:val="36"/>
          <w:szCs w:val="36"/>
        </w:rPr>
      </w:pPr>
      <w:r>
        <w:rPr>
          <w:rFonts w:hint="cs"/>
          <w:rtl/>
        </w:rPr>
        <w:t xml:space="preserve">م </w:t>
      </w:r>
      <w:proofErr w:type="spellStart"/>
      <w:r>
        <w:rPr>
          <w:rFonts w:hint="cs"/>
          <w:rtl/>
        </w:rPr>
        <w:t>/</w:t>
      </w:r>
      <w:proofErr w:type="spellEnd"/>
      <w:r>
        <w:rPr>
          <w:rFonts w:hint="cs"/>
          <w:rtl/>
        </w:rPr>
        <w:t xml:space="preserve">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السحر و </w:t>
      </w:r>
      <w:r>
        <w:rPr>
          <w:rFonts w:hint="cs"/>
          <w:sz w:val="36"/>
          <w:szCs w:val="36"/>
          <w:rtl/>
          <w:lang w:bidi="ar-IQ"/>
        </w:rPr>
        <w:t xml:space="preserve">اشكاله </w:t>
      </w:r>
      <w:r w:rsidRPr="00EA4D7C">
        <w:rPr>
          <w:rFonts w:hint="cs"/>
          <w:sz w:val="36"/>
          <w:szCs w:val="36"/>
          <w:rtl/>
          <w:lang w:bidi="ar-IQ"/>
        </w:rPr>
        <w:t xml:space="preserve"> </w:t>
      </w:r>
      <w:r w:rsidRPr="00EA4D7C">
        <w:rPr>
          <w:rFonts w:hint="cs"/>
          <w:sz w:val="36"/>
          <w:szCs w:val="36"/>
          <w:rtl/>
        </w:rPr>
        <w:t>وما</w:t>
      </w:r>
      <w:r>
        <w:rPr>
          <w:rFonts w:hint="cs"/>
          <w:sz w:val="36"/>
          <w:szCs w:val="36"/>
          <w:rtl/>
        </w:rPr>
        <w:t xml:space="preserve"> </w:t>
      </w:r>
      <w:r w:rsidRPr="00EA4D7C">
        <w:rPr>
          <w:rFonts w:hint="cs"/>
          <w:sz w:val="36"/>
          <w:szCs w:val="36"/>
          <w:rtl/>
        </w:rPr>
        <w:t xml:space="preserve">هي الاسطورة والخرافة  وارتباطهما بالدين واهم وظائف الدين </w:t>
      </w:r>
    </w:p>
    <w:p w:rsidR="00EA4D7C" w:rsidRPr="00DB453A" w:rsidRDefault="00EA4D7C" w:rsidP="00EA4D7C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tl/>
        </w:rPr>
        <w:tab/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السحر و اشكاله   </w:t>
      </w:r>
      <w:r w:rsidRPr="00DB453A">
        <w:rPr>
          <w:b/>
          <w:bCs/>
          <w:sz w:val="32"/>
          <w:szCs w:val="32"/>
          <w:lang w:bidi="ar-IQ"/>
        </w:rPr>
        <w:t>The Magic</w:t>
      </w: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السحر </w:t>
      </w:r>
      <w:r w:rsidRPr="00DB453A">
        <w:rPr>
          <w:sz w:val="32"/>
          <w:szCs w:val="32"/>
          <w:lang w:bidi="ar-IQ"/>
        </w:rPr>
        <w:t xml:space="preserve">Magic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طريقة يبذل فيها جهد متواصل للسيطرة على البيئة و العلاقات الاجتماعية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أيضا واسطة يمكن من خلالها محاربة السحرة و المشعوذين و تهديم النجاحات و المنجزات التي احرزوها من خلال مهنة الحر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لقد كان السحر احد الموضوعات التي عالجها (السير ادوارد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ايفانز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برتشارد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 xml:space="preserve">Evans – Pritchard </w:t>
      </w:r>
      <w:r w:rsidRPr="00DB453A">
        <w:rPr>
          <w:rFonts w:hint="cs"/>
          <w:sz w:val="32"/>
          <w:szCs w:val="32"/>
          <w:rtl/>
          <w:lang w:bidi="ar-IQ"/>
        </w:rPr>
        <w:t xml:space="preserve"> في مؤلفه السحر و العرافة بين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الازاندي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طرح السؤال الآتي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إننا حينما نحلل الظاهرة هذه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زواية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كوننا غرباء على المجتمع فإننا نعتقد بأن ذلك لا يسبب حدوث أية نتيجة في حين يعتقد سكان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الازاندي)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بأنه يتسبب في حدوث النتائج الضارة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ولهذا فإن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ايفانز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برتشارد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يرى بأن هذا السلوك يبدو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للانسان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الغريب عن المجتمع (غير عقلاني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 xml:space="preserve">Irrational </w:t>
      </w:r>
      <w:r w:rsidRPr="00DB453A">
        <w:rPr>
          <w:rFonts w:hint="cs"/>
          <w:sz w:val="32"/>
          <w:szCs w:val="32"/>
          <w:rtl/>
          <w:lang w:bidi="ar-IQ"/>
        </w:rPr>
        <w:t xml:space="preserve"> و في نظر السكان سلوك منطقي و مقبول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ولقد اعطى الاستاذ (تايلور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اربعة اسباب لاعتقاد الشعوب البدائية بالسحر هي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حدوث بعض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النتلئج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المتوخاة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السحر بصورة فعلية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استعمال السحرة بعض الحيل و الشعوذة في ايهام طلاب السحر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يتأثر الانسان البدائي بالحالات الايجابية التي يتصور أن السحر قد حققها له و ينسى الحالات السلبية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و قد يعتقد طالب السحر أن سحره لم يؤد غرضه بفعل سحر مضاد أقوى منه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تأثيرآ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ind w:left="360"/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4D7C" w:rsidRPr="00DB453A" w:rsidRDefault="00EA4D7C" w:rsidP="00EA4D7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دينيكن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ميثل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ز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ص191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EA4D7C" w:rsidRPr="00DB453A" w:rsidRDefault="00EA4D7C" w:rsidP="00EA4D7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sz w:val="32"/>
          <w:szCs w:val="32"/>
          <w:lang w:bidi="ar-IQ"/>
        </w:rPr>
        <w:t>Knorr</w:t>
      </w:r>
      <w:proofErr w:type="spellEnd"/>
      <w:r w:rsidRPr="00DB453A">
        <w:rPr>
          <w:sz w:val="32"/>
          <w:szCs w:val="32"/>
          <w:lang w:bidi="ar-IQ"/>
        </w:rPr>
        <w:t xml:space="preserve"> K., </w:t>
      </w:r>
      <w:proofErr w:type="spellStart"/>
      <w:r w:rsidRPr="00DB453A">
        <w:rPr>
          <w:sz w:val="32"/>
          <w:szCs w:val="32"/>
          <w:lang w:bidi="ar-IQ"/>
        </w:rPr>
        <w:t>edi</w:t>
      </w:r>
      <w:proofErr w:type="spellEnd"/>
      <w:r w:rsidRPr="00DB453A">
        <w:rPr>
          <w:sz w:val="32"/>
          <w:szCs w:val="32"/>
          <w:lang w:bidi="ar-IQ"/>
        </w:rPr>
        <w:t xml:space="preserve">., Advance in Social Theory and </w:t>
      </w:r>
      <w:proofErr w:type="spellStart"/>
      <w:r w:rsidRPr="00DB453A">
        <w:rPr>
          <w:sz w:val="32"/>
          <w:szCs w:val="32"/>
          <w:lang w:bidi="ar-IQ"/>
        </w:rPr>
        <w:t>Methodologh</w:t>
      </w:r>
      <w:proofErr w:type="spellEnd"/>
      <w:r w:rsidRPr="00DB453A">
        <w:rPr>
          <w:sz w:val="32"/>
          <w:szCs w:val="32"/>
          <w:lang w:bidi="ar-IQ"/>
        </w:rPr>
        <w:t xml:space="preserve"> , </w:t>
      </w:r>
      <w:proofErr w:type="spellStart"/>
      <w:r w:rsidRPr="00DB453A">
        <w:rPr>
          <w:sz w:val="32"/>
          <w:szCs w:val="32"/>
          <w:lang w:bidi="ar-IQ"/>
        </w:rPr>
        <w:t>Routledge</w:t>
      </w:r>
      <w:proofErr w:type="spellEnd"/>
      <w:r w:rsidRPr="00DB453A">
        <w:rPr>
          <w:sz w:val="32"/>
          <w:szCs w:val="32"/>
          <w:lang w:bidi="ar-IQ"/>
        </w:rPr>
        <w:t xml:space="preserve"> </w:t>
      </w:r>
      <w:r w:rsidRPr="00DB453A">
        <w:rPr>
          <w:rFonts w:ascii="Arial" w:hAnsi="Arial" w:cs="Arial"/>
          <w:sz w:val="32"/>
          <w:szCs w:val="32"/>
          <w:lang w:bidi="ar-IQ"/>
        </w:rPr>
        <w:t>&amp;</w:t>
      </w:r>
      <w:r w:rsidRPr="00DB453A">
        <w:rPr>
          <w:sz w:val="32"/>
          <w:szCs w:val="32"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Kegan</w:t>
      </w:r>
      <w:proofErr w:type="spellEnd"/>
      <w:r w:rsidRPr="00DB453A">
        <w:rPr>
          <w:sz w:val="32"/>
          <w:szCs w:val="32"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paul</w:t>
      </w:r>
      <w:proofErr w:type="spellEnd"/>
      <w:r w:rsidRPr="00DB453A">
        <w:rPr>
          <w:sz w:val="32"/>
          <w:szCs w:val="32"/>
          <w:lang w:bidi="ar-IQ"/>
        </w:rPr>
        <w:t xml:space="preserve">, Boston. London and </w:t>
      </w:r>
      <w:proofErr w:type="spellStart"/>
      <w:r w:rsidRPr="00DB453A">
        <w:rPr>
          <w:sz w:val="32"/>
          <w:szCs w:val="32"/>
          <w:lang w:bidi="ar-IQ"/>
        </w:rPr>
        <w:t>Henies</w:t>
      </w:r>
      <w:proofErr w:type="spellEnd"/>
      <w:r w:rsidRPr="00DB453A">
        <w:rPr>
          <w:sz w:val="32"/>
          <w:szCs w:val="32"/>
          <w:lang w:bidi="ar-IQ"/>
        </w:rPr>
        <w:t xml:space="preserve"> 1981.,  p.  177</w:t>
      </w:r>
    </w:p>
    <w:p w:rsidR="00EA4D7C" w:rsidRPr="00DB453A" w:rsidRDefault="00EA4D7C" w:rsidP="00EA4D7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شاكر مصطفى سليم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المدخل الى الانثروبولوجيا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ص 69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70 </w:t>
      </w:r>
    </w:p>
    <w:p w:rsidR="00EA4D7C" w:rsidRPr="00DB453A" w:rsidRDefault="00EA4D7C" w:rsidP="00EA4D7C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DB453A">
        <w:rPr>
          <w:rFonts w:hint="cs"/>
          <w:sz w:val="32"/>
          <w:szCs w:val="32"/>
          <w:rtl/>
          <w:lang w:bidi="ar-IQ"/>
        </w:rPr>
        <w:t xml:space="preserve">  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الاسطورة و الخرافة      </w:t>
      </w:r>
      <w:r w:rsidRPr="00DB453A">
        <w:rPr>
          <w:b/>
          <w:bCs/>
          <w:sz w:val="32"/>
          <w:szCs w:val="32"/>
          <w:lang w:bidi="ar-IQ"/>
        </w:rPr>
        <w:t xml:space="preserve">Myth – Legend </w:t>
      </w: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</w:t>
      </w:r>
      <w:r w:rsidRPr="00DB453A">
        <w:rPr>
          <w:rFonts w:hint="cs"/>
          <w:sz w:val="32"/>
          <w:szCs w:val="32"/>
          <w:rtl/>
          <w:lang w:bidi="ar-IQ"/>
        </w:rPr>
        <w:t xml:space="preserve">يحدد الاستاذ (جيرالد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لارسون)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Larson Gerald</w:t>
      </w:r>
      <w:r w:rsidRPr="00DB453A">
        <w:rPr>
          <w:rFonts w:hint="cs"/>
          <w:sz w:val="32"/>
          <w:szCs w:val="32"/>
          <w:rtl/>
          <w:lang w:bidi="ar-IQ"/>
        </w:rPr>
        <w:t xml:space="preserve"> الاسطورة بأنها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حكاية أو مجموعة من الحكــايات أو الروايات المنسوجة من الآلهـة أو القوى الغيبية و المتداولة بين الناس فــي العشيرة أو القبيلة أو الجماعة العرقية لغرض تفسير تجاربها و عالمها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فرديآ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جماعيآ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تفسر الاساطير خلق الكون و الانسان و نشأة الموت و القرابين و بطولات الابطال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    و تعرف الاسطورة كذلك بأنها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حكاية عن كائنات تتجاوز تصورات العقل الموضوعي ومما يميزها عن الخرافة هو الاعتقاد فيها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فالاسطورة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موضوع اعتقاد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أما (الخرافة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Legend</w:t>
      </w:r>
      <w:r w:rsidRPr="00DB453A">
        <w:rPr>
          <w:rFonts w:hint="cs"/>
          <w:sz w:val="32"/>
          <w:szCs w:val="32"/>
          <w:rtl/>
          <w:lang w:bidi="ar-IQ"/>
        </w:rPr>
        <w:t xml:space="preserve"> فهي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قصة ابطالها في الغالب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كائنات فوق طبيعية و بعضها بشرية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تدور حول احداث يفترض أنها وقعت في الماضي و تهدف الخرافة الى سرد تجارب اشخاص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رواية احداث من التراث الشعبي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ولذا فهي تنتقل ضمنه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يقرر (ليفي شتراوس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 xml:space="preserve">Levi – Strauss </w:t>
      </w:r>
      <w:r w:rsidRPr="00DB453A">
        <w:rPr>
          <w:rFonts w:hint="cs"/>
          <w:sz w:val="32"/>
          <w:szCs w:val="32"/>
          <w:rtl/>
          <w:lang w:bidi="ar-IQ"/>
        </w:rPr>
        <w:t xml:space="preserve"> بأن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التفكير الاسطوري ليس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تكيرآ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سابقآ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على المنطق </w:t>
      </w:r>
      <w:proofErr w:type="spellStart"/>
      <w:r w:rsidRPr="00DB453A">
        <w:rPr>
          <w:sz w:val="32"/>
          <w:szCs w:val="32"/>
          <w:lang w:bidi="ar-IQ"/>
        </w:rPr>
        <w:t>Prelogique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هو تفكير منطقي على مستوى المحسوس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بمعنى أنه تفكير تصنيفي يستعين بمجموعة من المقولات التجريبية (ني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مطبوخ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طازج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فاسد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مبلل و محروق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الخ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وليست هذه المقولات التجريبية سوى ادوات تصويرية ناجحة تصلح لاستخلاص بعض المعاني المجردة و الربط بينها و بين بعض على شكل سلسلة من القضايا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الواقع أن مضمون الاسطورة لا يمثل العنصر الاهم من عناصرها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ربما كان افدح خطأ يمكن أن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يرنكبه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الباحث هو أن يعمد الى تفسير كل رمز على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حدة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أن صح هذا التعبير (في ذاته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والحق أن الرمز ليس مستقلا او قائما بذاته بالقياس الى السياق الذي يرد فيه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الدين ووظائفه </w:t>
      </w: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الدين </w:t>
      </w:r>
      <w:r w:rsidRPr="00DB453A">
        <w:rPr>
          <w:b/>
          <w:bCs/>
          <w:sz w:val="32"/>
          <w:szCs w:val="32"/>
          <w:lang w:bidi="ar-IQ"/>
        </w:rPr>
        <w:t>Religion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هو </w:t>
      </w:r>
      <w:proofErr w:type="spellStart"/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العلاقة الروحية و العاطفية بين الانسان و قوي ما فوق الطبيعة أو الكائنات التي يقدم لها العبادات و يقيم لها الممارسات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الطقوسية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التي تعينه على الاتصال بهذه القوى و تمكنه من ادامة تلك العلاقة التي تصبح مقننة في النظام الاجتماعي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ووفق هذا السياق يصبح الدين ظاهرة (جماعية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Collective</w:t>
      </w:r>
      <w:r w:rsidRPr="00DB453A">
        <w:rPr>
          <w:rFonts w:hint="cs"/>
          <w:sz w:val="32"/>
          <w:szCs w:val="32"/>
          <w:rtl/>
          <w:lang w:bidi="ar-IQ"/>
        </w:rPr>
        <w:t xml:space="preserve"> تهم كل الافراد في المجتمع و بالتالي فهو مركز استقطاب أعضاء المجتمع و دلالة من دلالات تماسكهم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وكما يصفه البعض بأنه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r w:rsidRPr="00DB453A">
        <w:rPr>
          <w:rFonts w:hint="cs"/>
          <w:sz w:val="32"/>
          <w:szCs w:val="32"/>
          <w:rtl/>
          <w:lang w:bidi="ar-IQ"/>
        </w:rPr>
        <w:t xml:space="preserve">مثل السلك في القلادة و دورها فيها الربط و التناسق..التنظيم بين الأجزاء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فكلما كان السلك قويا كلما تماسكت القلادة في نسق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تراصف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خرزها في نمط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فاذا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تبدد هذا السلك انفرطت القلادة و تشتت خرزها و تبددت اجزاؤها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</w:p>
    <w:p w:rsidR="00EA4D7C" w:rsidRPr="00DB453A" w:rsidRDefault="00EA4D7C" w:rsidP="00EA4D7C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4D7C" w:rsidRPr="00DB453A" w:rsidRDefault="00EA4D7C" w:rsidP="00EA4D7C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قيس النوري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الاساطير وعلم الاجناس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(جامعة الموصل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1981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ص10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خليل احمد خليل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مضمون الاسطورة في الفكر العربي (الطبعة الثانية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دار الطليعة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بيروت 1980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ص8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دينكن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ميشل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. </w:t>
      </w:r>
    </w:p>
    <w:p w:rsidR="00EA4D7C" w:rsidRPr="00DB453A" w:rsidRDefault="00EA4D7C" w:rsidP="00EA4D7C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Note and Queries, Op cit, p.175</w:t>
      </w:r>
    </w:p>
    <w:p w:rsidR="00EA4D7C" w:rsidRPr="00DB453A" w:rsidRDefault="00EA4D7C" w:rsidP="00EA4D7C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صبحي الحديثي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دور الدين في المجتمع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مطبعة الامة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بغداد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1989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ص7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A4D7C" w:rsidRPr="00DB453A" w:rsidRDefault="00EA4D7C" w:rsidP="00EA4D7C">
      <w:pPr>
        <w:jc w:val="both"/>
        <w:rPr>
          <w:b/>
          <w:bCs/>
          <w:sz w:val="32"/>
          <w:szCs w:val="32"/>
          <w:rtl/>
          <w:lang w:bidi="ar-IQ"/>
        </w:rPr>
      </w:pPr>
    </w:p>
    <w:p w:rsidR="00DA3F11" w:rsidRPr="00EA4D7C" w:rsidRDefault="00DA3F11" w:rsidP="00EA4D7C">
      <w:pPr>
        <w:tabs>
          <w:tab w:val="left" w:pos="1076"/>
        </w:tabs>
      </w:pPr>
    </w:p>
    <w:sectPr w:rsidR="00DA3F11" w:rsidRPr="00EA4D7C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81" w:rsidRDefault="00E27F81" w:rsidP="00FA32B3">
      <w:pPr>
        <w:spacing w:after="0" w:line="240" w:lineRule="auto"/>
      </w:pPr>
      <w:r>
        <w:separator/>
      </w:r>
    </w:p>
  </w:endnote>
  <w:endnote w:type="continuationSeparator" w:id="0">
    <w:p w:rsidR="00E27F81" w:rsidRDefault="00E27F81" w:rsidP="00FA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81" w:rsidRDefault="00E27F81" w:rsidP="00FA32B3">
      <w:pPr>
        <w:spacing w:after="0" w:line="240" w:lineRule="auto"/>
      </w:pPr>
      <w:r>
        <w:separator/>
      </w:r>
    </w:p>
  </w:footnote>
  <w:footnote w:type="continuationSeparator" w:id="0">
    <w:p w:rsidR="00E27F81" w:rsidRDefault="00E27F81" w:rsidP="00FA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C16"/>
    <w:multiLevelType w:val="hybridMultilevel"/>
    <w:tmpl w:val="C90C8DD0"/>
    <w:lvl w:ilvl="0" w:tplc="3D8A6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7FAE"/>
    <w:multiLevelType w:val="hybridMultilevel"/>
    <w:tmpl w:val="CF2422C8"/>
    <w:lvl w:ilvl="0" w:tplc="15CA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619FB"/>
    <w:multiLevelType w:val="hybridMultilevel"/>
    <w:tmpl w:val="E43454F6"/>
    <w:lvl w:ilvl="0" w:tplc="F5DE0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D7C"/>
    <w:rsid w:val="002E2E27"/>
    <w:rsid w:val="0093611F"/>
    <w:rsid w:val="00DA3F11"/>
    <w:rsid w:val="00E27F81"/>
    <w:rsid w:val="00EA4D7C"/>
    <w:rsid w:val="00FA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7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A3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A32B3"/>
  </w:style>
  <w:style w:type="paragraph" w:styleId="a5">
    <w:name w:val="footer"/>
    <w:basedOn w:val="a"/>
    <w:link w:val="Char0"/>
    <w:uiPriority w:val="99"/>
    <w:semiHidden/>
    <w:unhideWhenUsed/>
    <w:rsid w:val="00FA3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FA3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3611</Characters>
  <Application>Microsoft Office Word</Application>
  <DocSecurity>0</DocSecurity>
  <Lines>30</Lines>
  <Paragraphs>8</Paragraphs>
  <ScaleCrop>false</ScaleCrop>
  <Company>Hewlett-Packard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3</cp:revision>
  <dcterms:created xsi:type="dcterms:W3CDTF">2020-01-07T16:32:00Z</dcterms:created>
  <dcterms:modified xsi:type="dcterms:W3CDTF">2020-01-07T16:38:00Z</dcterms:modified>
</cp:coreProperties>
</file>