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3C" w:rsidRDefault="00296E3C" w:rsidP="00296E3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296E3C" w:rsidRDefault="00296E3C" w:rsidP="00296E3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296E3C" w:rsidRDefault="00296E3C" w:rsidP="00296E3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296E3C" w:rsidRDefault="00296E3C" w:rsidP="00296E3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296E3C" w:rsidRPr="00C211D7" w:rsidRDefault="00296E3C" w:rsidP="00343B92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: </w:t>
      </w:r>
      <w:r w:rsidR="00343B92">
        <w:rPr>
          <w:rFonts w:hint="cs"/>
          <w:b/>
          <w:bCs/>
          <w:sz w:val="32"/>
          <w:szCs w:val="32"/>
          <w:rtl/>
          <w:lang w:bidi="ar-IQ"/>
        </w:rPr>
        <w:t>مقدمة</w:t>
      </w:r>
      <w:r>
        <w:rPr>
          <w:b/>
          <w:bCs/>
          <w:sz w:val="32"/>
          <w:szCs w:val="32"/>
          <w:rtl/>
          <w:lang w:bidi="ar-IQ"/>
        </w:rPr>
        <w:t xml:space="preserve"> المدخل الى الانثروبولوجيا العامة</w:t>
      </w:r>
    </w:p>
    <w:p w:rsidR="00296E3C" w:rsidRDefault="00296E3C" w:rsidP="00296E3C">
      <w:pPr>
        <w:tabs>
          <w:tab w:val="left" w:pos="7372"/>
        </w:tabs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: الخامسة عشر </w:t>
      </w:r>
    </w:p>
    <w:p w:rsidR="00296E3C" w:rsidRPr="00296E3C" w:rsidRDefault="00296E3C" w:rsidP="00296E3C">
      <w:pPr>
        <w:rPr>
          <w:b/>
          <w:bCs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م </w:t>
      </w:r>
      <w:proofErr w:type="spellStart"/>
      <w:r w:rsidRPr="00296E3C"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 w:rsidRPr="00296E3C">
        <w:rPr>
          <w:rFonts w:hint="cs"/>
          <w:b/>
          <w:bCs/>
          <w:sz w:val="36"/>
          <w:szCs w:val="36"/>
          <w:rtl/>
          <w:lang w:bidi="ar-IQ"/>
        </w:rPr>
        <w:t xml:space="preserve"> الانثروبولوجيا الاجتماعية </w:t>
      </w:r>
      <w:proofErr w:type="spellStart"/>
      <w:r w:rsidRPr="00296E3C">
        <w:rPr>
          <w:rFonts w:hint="cs"/>
          <w:b/>
          <w:bCs/>
          <w:sz w:val="36"/>
          <w:szCs w:val="36"/>
          <w:rtl/>
          <w:lang w:bidi="ar-IQ"/>
        </w:rPr>
        <w:t>،</w:t>
      </w:r>
      <w:proofErr w:type="spellEnd"/>
      <w:r w:rsidRPr="00296E3C">
        <w:rPr>
          <w:rFonts w:hint="cs"/>
          <w:b/>
          <w:bCs/>
          <w:sz w:val="36"/>
          <w:szCs w:val="36"/>
          <w:rtl/>
          <w:lang w:bidi="ar-IQ"/>
        </w:rPr>
        <w:t xml:space="preserve"> القرابة ومص</w:t>
      </w:r>
      <w:r>
        <w:rPr>
          <w:rFonts w:hint="cs"/>
          <w:b/>
          <w:bCs/>
          <w:sz w:val="36"/>
          <w:szCs w:val="36"/>
          <w:rtl/>
          <w:lang w:bidi="ar-IQ"/>
        </w:rPr>
        <w:t>ط</w:t>
      </w:r>
      <w:r w:rsidRPr="00296E3C">
        <w:rPr>
          <w:rFonts w:hint="cs"/>
          <w:b/>
          <w:bCs/>
          <w:sz w:val="36"/>
          <w:szCs w:val="36"/>
          <w:rtl/>
          <w:lang w:bidi="ar-IQ"/>
        </w:rPr>
        <w:t xml:space="preserve">لحاتها </w:t>
      </w:r>
    </w:p>
    <w:p w:rsidR="00296E3C" w:rsidRDefault="00296E3C" w:rsidP="00296E3C">
      <w:pPr>
        <w:rPr>
          <w:lang w:bidi="ar-IQ"/>
        </w:rPr>
      </w:pP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التمهيد لظهور الانثروبولوجيا الاجتماعية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يقول سير ادوارد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ايفانزير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تشارد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vertAlign w:val="subscript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vertAlign w:val="subscript"/>
          <w:rtl/>
          <w:lang w:bidi="ar-IQ"/>
        </w:rPr>
        <w:t>(</w:t>
      </w:r>
      <w:r w:rsidRPr="00DB453A">
        <w:rPr>
          <w:rFonts w:hint="cs"/>
          <w:sz w:val="32"/>
          <w:szCs w:val="32"/>
          <w:rtl/>
          <w:lang w:bidi="ar-IQ"/>
        </w:rPr>
        <w:t xml:space="preserve">يبدأ نسب العلم و اصله في فرنسا من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مونتسكيو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Montesquieu</w:t>
      </w:r>
      <w:r w:rsidRPr="00DB453A">
        <w:rPr>
          <w:rFonts w:hint="cs"/>
          <w:sz w:val="32"/>
          <w:szCs w:val="32"/>
          <w:rtl/>
          <w:lang w:bidi="ar-IQ"/>
        </w:rPr>
        <w:t xml:space="preserve"> (1698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1755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فكتابه (روح القوانين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(1748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وهو اشهر كتبه (بحث في الفلسفة السياسية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او ربما في الفلسفة الاجتماعية . و ترجع شهرة الكتاب على الخصوص الى بعض الافكار الغريبة التي كان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مونتسكيو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يعتنقها عن تأثير المناخ على أخلاق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الشعوب,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وكذلك الى آرائه في الفصل بين السلطات في الحكومة</w:t>
      </w:r>
      <w:proofErr w:type="spellStart"/>
      <w:r w:rsidRPr="00DB453A">
        <w:rPr>
          <w:rFonts w:hint="cs"/>
          <w:sz w:val="32"/>
          <w:szCs w:val="32"/>
          <w:vertAlign w:val="subscript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(1)</w:t>
      </w:r>
      <w:r w:rsidRPr="00DB453A">
        <w:rPr>
          <w:rFonts w:hint="cs"/>
          <w:sz w:val="32"/>
          <w:szCs w:val="32"/>
          <w:rtl/>
          <w:lang w:bidi="ar-IQ"/>
        </w:rPr>
        <w:t xml:space="preserve">.وما يتعلق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بالانثروبولوجيا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الاجتماعية مما عالجه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مونتسكيو)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هو أنه اعتقد بأن القوانين لا يمكن أن تفهم بمعزل عن البيئة التي توجد فيها . كما لا يمكن أن تفهم دون ربطها ببعض . وهذا الرأي يتوافق مع النظرية الوظيفية التي هي أحدى دعائم المدرسة الوظيفية و التي اصبحت فيما بعد الانثروبولوجيا الاجتماعية في انكلترا .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لقد ذهب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مونتسكيو)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الى أن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vertAlign w:val="subscript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vertAlign w:val="subscript"/>
          <w:rtl/>
          <w:lang w:bidi="ar-IQ"/>
        </w:rPr>
        <w:t xml:space="preserve"> </w:t>
      </w:r>
      <w:r w:rsidRPr="00DB453A">
        <w:rPr>
          <w:rFonts w:hint="cs"/>
          <w:sz w:val="32"/>
          <w:szCs w:val="32"/>
          <w:rtl/>
          <w:lang w:bidi="ar-IQ"/>
        </w:rPr>
        <w:t xml:space="preserve">المجتمع ذاته و ما يحيط به يتكون من نظم ترتبط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ببعضها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ارتباطآ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وظيفيآ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, و بالتالي لا يمكن فهم القانون الدولي أو القانون الدستوري أو القانون الجنائي أو القانون المدني أو لدى شعب من الشعوب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أذا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درسنأ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العلاقات بين كل هذه القوانين ثم دراسة علاقة تلك القوانين بالبيئة الطبيعية و الحياة الاقتصادية و عدد السكان و معتقداتهم و العرف و الاخلاق و كذلك امزجة الناس </w:t>
      </w:r>
      <w:proofErr w:type="spellStart"/>
      <w:r w:rsidRPr="00DB453A">
        <w:rPr>
          <w:rFonts w:hint="cs"/>
          <w:sz w:val="32"/>
          <w:szCs w:val="32"/>
          <w:vertAlign w:val="subscript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ثم انتقلت الانثروبولوجيا الاجتماعية الى (سان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سيمون)</w:t>
      </w:r>
      <w:proofErr w:type="spellEnd"/>
      <w:r w:rsidRPr="00DB453A">
        <w:rPr>
          <w:sz w:val="32"/>
          <w:szCs w:val="32"/>
          <w:lang w:bidi="ar-IQ"/>
        </w:rPr>
        <w:t xml:space="preserve">Saint – Simon </w:t>
      </w:r>
      <w:r w:rsidRPr="00DB453A">
        <w:rPr>
          <w:rFonts w:hint="cs"/>
          <w:sz w:val="32"/>
          <w:szCs w:val="32"/>
          <w:rtl/>
          <w:lang w:bidi="ar-IQ"/>
        </w:rPr>
        <w:t xml:space="preserve"> (1760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1825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vertAlign w:val="subscript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الذي كان اول من اقترح بشكل صريح ضرورة إنشاء علم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للمجتمع </w:t>
      </w:r>
      <w:proofErr w:type="spellStart"/>
      <w:r w:rsidRPr="00DB453A">
        <w:rPr>
          <w:rFonts w:hint="cs"/>
          <w:sz w:val="32"/>
          <w:szCs w:val="32"/>
          <w:vertAlign w:val="subscript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خير ما يقال عن علماء القرن الثامن عشر هو أنهم مهدوا لظهور علوم موضوعية لدراسة المجتمع و من بين هذه العلوم التي مهدوا لها (الانثروبولوجيا الاجتماعية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 xml:space="preserve">Social </w:t>
      </w:r>
      <w:proofErr w:type="spellStart"/>
      <w:r w:rsidRPr="00DB453A">
        <w:rPr>
          <w:sz w:val="32"/>
          <w:szCs w:val="32"/>
          <w:lang w:bidi="ar-IQ"/>
        </w:rPr>
        <w:t>Anthropologh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الذي تجلى في أهم مظاهره و هو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أعتبار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النظم الاجتماعية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انساقآ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طبيعية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بالامكان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دراستها دراسة تجريبية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وفي بداية القرن التاسع عشر ظهرت كما بينا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سابقآ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امهات الكتب في الانثروبولوجيا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كـ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(القانون القديم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للسير هنري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مين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عام (1861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وكتاب (حق الام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لباخوفن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العام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نفسه,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كتاب (الزواج البدائي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لجون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ماكلينان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(1865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و(الحضارة البدائية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لتيلور في عام (1871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غيرها من الكتب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الاخرى,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قد اثارت هذه الكتب اهتمام المفكرين و جرتهم الى الحوار و المناقشات التي اسهمت فيما بعد في ازدهار علم الانسان بشكل عام و حقل الانثروبولوجيا بشكل خاص .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96E3C" w:rsidRPr="00DB453A" w:rsidRDefault="00296E3C" w:rsidP="00296E3C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سير ادوارد أ.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ايفانز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بردتشارد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السابق , ص 34 . </w:t>
      </w:r>
    </w:p>
    <w:p w:rsidR="00296E3C" w:rsidRPr="00DB453A" w:rsidRDefault="00296E3C" w:rsidP="00296E3C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عاطف وصفي , الانثروبولوجيا الاجتماعية , (الطبعة الثالثة 1981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دار النهضة العربية للطباعة و النشر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بيروت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ص23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96E3C" w:rsidRPr="00DB453A" w:rsidRDefault="00296E3C" w:rsidP="00296E3C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السير ادوارد . أ.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ايفانز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برتشارد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السابق . ص 23 . </w:t>
      </w:r>
    </w:p>
    <w:p w:rsidR="00296E3C" w:rsidRPr="00DB453A" w:rsidRDefault="00296E3C" w:rsidP="00296E3C">
      <w:pPr>
        <w:pStyle w:val="a3"/>
        <w:numPr>
          <w:ilvl w:val="0"/>
          <w:numId w:val="1"/>
        </w:num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عاطف وصفي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المذكور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آنفآ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, ص 25 .</w:t>
      </w:r>
    </w:p>
    <w:p w:rsidR="00296E3C" w:rsidRPr="00DB453A" w:rsidRDefault="00296E3C" w:rsidP="00296E3C">
      <w:pPr>
        <w:jc w:val="both"/>
        <w:rPr>
          <w:sz w:val="32"/>
          <w:szCs w:val="32"/>
          <w:vertAlign w:val="superscript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 و في عام (1898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سجل العالم الانجليزي (هادون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 xml:space="preserve">Haddon </w:t>
      </w:r>
      <w:r w:rsidRPr="00DB453A">
        <w:rPr>
          <w:rFonts w:hint="cs"/>
          <w:sz w:val="32"/>
          <w:szCs w:val="32"/>
          <w:rtl/>
          <w:lang w:bidi="ar-IQ"/>
        </w:rPr>
        <w:t xml:space="preserve"> اول دراسة حقلية في مضايق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توريس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Torres Straits</w:t>
      </w:r>
      <w:r w:rsidRPr="00DB453A">
        <w:rPr>
          <w:rFonts w:hint="cs"/>
          <w:sz w:val="32"/>
          <w:szCs w:val="32"/>
          <w:rtl/>
          <w:lang w:bidi="ar-IQ"/>
        </w:rPr>
        <w:t xml:space="preserve"> عندما ذهب مع اول حملة استكشافية انثروبولوجية بريطانية لجمع المعلومات و البيانات الانثروبولوجية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vertAlign w:val="subscript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vertAlign w:val="subscript"/>
          <w:rtl/>
          <w:lang w:bidi="ar-IQ"/>
        </w:rPr>
        <w:t>(</w:t>
      </w:r>
      <w:r w:rsidRPr="00DB453A">
        <w:rPr>
          <w:rFonts w:hint="cs"/>
          <w:sz w:val="32"/>
          <w:szCs w:val="32"/>
          <w:rtl/>
          <w:lang w:bidi="ar-IQ"/>
        </w:rPr>
        <w:t>وكان اشهر الرحالة في القرن التاسع عشر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باستان)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(1826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1905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الذي عمل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طبيبآ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باخرة كي يرى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العالم,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وقد نجح في زيادة عدد كبير من ارجاء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العالم,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وكان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باستان)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مولعآ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بالافكار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لذاتها,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بخاصة بالمعتقدات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الدينية,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وكان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معجبآ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باوجه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الاتفاق التي اكتشفها في اماكن متباعدة من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العالم,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وقد عزى ذلك الى الصفات النفسية العامة لدى بني البشر كافة</w:t>
      </w:r>
      <w:proofErr w:type="spellStart"/>
      <w:r w:rsidRPr="00DB453A">
        <w:rPr>
          <w:rFonts w:hint="cs"/>
          <w:sz w:val="32"/>
          <w:szCs w:val="32"/>
          <w:vertAlign w:val="subscript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).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vertAlign w:val="superscript"/>
          <w:rtl/>
          <w:lang w:bidi="ar-IQ"/>
        </w:rPr>
        <w:t xml:space="preserve">     </w:t>
      </w:r>
      <w:r w:rsidRPr="00DB453A">
        <w:rPr>
          <w:rFonts w:hint="cs"/>
          <w:sz w:val="32"/>
          <w:szCs w:val="32"/>
          <w:rtl/>
          <w:lang w:bidi="ar-IQ"/>
        </w:rPr>
        <w:t xml:space="preserve">    اننا في الواقع لم نسجل كل ما يتعلق بهذه المراحل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التأريخية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احداث أو علماء كان لهم دور مهم في وضع الاسس السليمة التي استندت عليها الانثروبولوجيا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الاجتماعية,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وهي بالطبع اسماء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كثيرة,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وذلك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لاننا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سنسهب في شرح هذه الموضوعات في فصول البحث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القادمة,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وكل ما نهدف اليه من وراء ذلك هو أن نثبت بأنه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vertAlign w:val="subscript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vertAlign w:val="subscript"/>
          <w:rtl/>
          <w:lang w:bidi="ar-IQ"/>
        </w:rPr>
        <w:t>(</w:t>
      </w:r>
      <w:r w:rsidRPr="00DB453A">
        <w:rPr>
          <w:rFonts w:hint="cs"/>
          <w:sz w:val="32"/>
          <w:szCs w:val="32"/>
          <w:rtl/>
          <w:lang w:bidi="ar-IQ"/>
        </w:rPr>
        <w:t xml:space="preserve">وصلت الانثروبولوجيا الاجتماعية في تلك الفترة الى مرحلة التخصص و هي مرحلة ذات مظاهر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متعددة,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اولهما بين الانثروبولوجيا الاجتماعية من ناحية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الاثنولوجيا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الاثنوكرافيا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ناحية اخرى</w:t>
      </w:r>
      <w:proofErr w:type="spellStart"/>
      <w:r w:rsidRPr="00DB453A">
        <w:rPr>
          <w:rFonts w:hint="cs"/>
          <w:sz w:val="32"/>
          <w:szCs w:val="32"/>
          <w:vertAlign w:val="subscript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).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96E3C" w:rsidRPr="00DB453A" w:rsidRDefault="00296E3C" w:rsidP="00296E3C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البروفسور دنيكن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ميثل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, معجم علم الاجتماع , ترجمة د. احسان محمد الحسن (دار الرشيد للنشر 1980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ص271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96E3C" w:rsidRPr="00DB453A" w:rsidRDefault="00296E3C" w:rsidP="00296E3C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لوسي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مير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, مقدمة في الانثروبولوجيا الاجتماعية , المصدر المذكور آنفا .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ص29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296E3C" w:rsidRPr="00DB453A" w:rsidRDefault="00296E3C" w:rsidP="00296E3C">
      <w:pPr>
        <w:pStyle w:val="a3"/>
        <w:numPr>
          <w:ilvl w:val="0"/>
          <w:numId w:val="2"/>
        </w:num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عاطف وصفي , المصدر المذكور أنفا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ص35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296E3C" w:rsidRDefault="00296E3C" w:rsidP="00296E3C">
      <w:pPr>
        <w:jc w:val="both"/>
        <w:rPr>
          <w:b/>
          <w:bCs/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(القرابة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B453A">
        <w:rPr>
          <w:b/>
          <w:bCs/>
          <w:sz w:val="32"/>
          <w:szCs w:val="32"/>
          <w:lang w:bidi="ar-IQ"/>
        </w:rPr>
        <w:t xml:space="preserve">         Kinship       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   إن روابط الزواج , الابوة و النسب , التي تتسبب في الصلات بين الافراد داخل العائلة الاولية فغن من نتائجها حدوث شبكة من العلاقات عن طريق القرابة و المصاهرة , فالقرابة اذن هي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الرابطة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الحقيقية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المزعومة حول صلة الاولاد و الآباء و يعترف بها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لاغراض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اجتماعية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إن كل المجتمعات تعترف بروابط دموية محددة , و الافراد ينسبون انفسهم الى نفس الاجداد إما عن طريق الاناث أو الذكور فبينما يرتبط الذين ينتسبون عن طريق الذكور بنسبهم فقط عن خط الذكور , ينسب الافراد بالنسب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الامومي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بخط الاناث فقط و روابط المصاهرة التي تتأتى عن طريق الزواج تربط الافراد بمجموعة من العلاقات مع اهل الزوجة أو أهل الزوج (وعلى سبيل المثال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كعلاقة الزوج بأخت زوجته أو أم أو أخ الزوجة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إن نظم القرابة تكون كالآتي </w:t>
      </w:r>
      <w:r w:rsidRPr="00DB453A">
        <w:rPr>
          <w:sz w:val="32"/>
          <w:szCs w:val="32"/>
          <w:vertAlign w:val="superscript"/>
          <w:lang w:bidi="ar-IQ"/>
        </w:rPr>
        <w:t>)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96E3C" w:rsidRPr="00DB453A" w:rsidRDefault="00296E3C" w:rsidP="00296E3C">
      <w:pPr>
        <w:jc w:val="both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اولا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:-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القرابة الابوية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proofErr w:type="spellStart"/>
      <w:r w:rsidRPr="00DB453A">
        <w:rPr>
          <w:b/>
          <w:bCs/>
          <w:sz w:val="32"/>
          <w:szCs w:val="32"/>
          <w:lang w:bidi="ar-IQ"/>
        </w:rPr>
        <w:t>Patrilinral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Kinship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</w:t>
      </w:r>
      <w:r w:rsidRPr="00DB453A">
        <w:rPr>
          <w:rFonts w:hint="cs"/>
          <w:sz w:val="32"/>
          <w:szCs w:val="32"/>
          <w:rtl/>
          <w:lang w:bidi="ar-IQ"/>
        </w:rPr>
        <w:t xml:space="preserve">وتقوم على اساس القرابة عن طريق خط الذكور فقط .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ثانيآ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:-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القرابة الامية :    </w:t>
      </w:r>
      <w:r w:rsidRPr="00DB453A">
        <w:rPr>
          <w:b/>
          <w:bCs/>
          <w:sz w:val="32"/>
          <w:szCs w:val="32"/>
          <w:lang w:bidi="ar-IQ"/>
        </w:rPr>
        <w:t>Matrilineal Kinship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</w:t>
      </w:r>
      <w:r w:rsidRPr="00DB453A">
        <w:rPr>
          <w:rFonts w:hint="cs"/>
          <w:sz w:val="32"/>
          <w:szCs w:val="32"/>
          <w:rtl/>
          <w:lang w:bidi="ar-IQ"/>
        </w:rPr>
        <w:t xml:space="preserve">وتقوم على اساس القرابة عن طريق الاناث فقط.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ثالثآ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:-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قرابة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الإهل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proofErr w:type="spellStart"/>
      <w:r w:rsidRPr="00DB453A">
        <w:rPr>
          <w:b/>
          <w:bCs/>
          <w:sz w:val="32"/>
          <w:szCs w:val="32"/>
          <w:lang w:bidi="ar-IQ"/>
        </w:rPr>
        <w:t>Gognative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Kinship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</w:t>
      </w:r>
      <w:r w:rsidRPr="00DB453A">
        <w:rPr>
          <w:rFonts w:hint="cs"/>
          <w:sz w:val="32"/>
          <w:szCs w:val="32"/>
          <w:rtl/>
          <w:lang w:bidi="ar-IQ"/>
        </w:rPr>
        <w:t xml:space="preserve">و تعني صلة القرابة بين جميع الافراد المنحدرين من جد واحد سواء كان ذلك عن طريق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الأناث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الذكور.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رابعا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:-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قرابة المصاهرة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proofErr w:type="spellStart"/>
      <w:r w:rsidRPr="00DB453A">
        <w:rPr>
          <w:b/>
          <w:bCs/>
          <w:sz w:val="32"/>
          <w:szCs w:val="32"/>
          <w:lang w:bidi="ar-IQ"/>
        </w:rPr>
        <w:t>Affinallrelationship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</w:t>
      </w:r>
      <w:r w:rsidRPr="00DB453A">
        <w:rPr>
          <w:rFonts w:hint="cs"/>
          <w:sz w:val="32"/>
          <w:szCs w:val="32"/>
          <w:rtl/>
          <w:lang w:bidi="ar-IQ"/>
        </w:rPr>
        <w:t>وهي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B453A">
        <w:rPr>
          <w:rFonts w:hint="cs"/>
          <w:sz w:val="32"/>
          <w:szCs w:val="32"/>
          <w:rtl/>
          <w:lang w:bidi="ar-IQ"/>
        </w:rPr>
        <w:t xml:space="preserve">التي تنجم عن الزواج فتربط الزوج بأهل الزوجة و كذلك الزوجة بأهل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الزوج,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كأخت الزوجة أو أخ الزوج أو أم الزوج أو أم الزوجة ... الخ.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Pr="00296E3C" w:rsidRDefault="00296E3C" w:rsidP="00296E3C">
      <w:pPr>
        <w:jc w:val="both"/>
        <w:rPr>
          <w:sz w:val="20"/>
          <w:szCs w:val="20"/>
          <w:rtl/>
          <w:lang w:bidi="ar-IQ"/>
        </w:rPr>
      </w:pPr>
      <w:r w:rsidRPr="00DB453A">
        <w:rPr>
          <w:sz w:val="32"/>
          <w:szCs w:val="32"/>
          <w:lang w:bidi="ar-IQ"/>
        </w:rPr>
        <w:t>Notes and Queries , Op cit , p.</w:t>
      </w:r>
      <w:r w:rsidRPr="00296E3C">
        <w:rPr>
          <w:sz w:val="20"/>
          <w:szCs w:val="20"/>
          <w:lang w:bidi="ar-IQ"/>
        </w:rPr>
        <w:t xml:space="preserve">75                                                                                    </w:t>
      </w:r>
      <w:r w:rsidRPr="00296E3C">
        <w:rPr>
          <w:rFonts w:hint="cs"/>
          <w:sz w:val="20"/>
          <w:szCs w:val="20"/>
          <w:rtl/>
          <w:lang w:bidi="ar-IQ"/>
        </w:rPr>
        <w:t>(1</w:t>
      </w:r>
      <w:proofErr w:type="spellStart"/>
      <w:r w:rsidRPr="00296E3C">
        <w:rPr>
          <w:rFonts w:hint="cs"/>
          <w:sz w:val="20"/>
          <w:szCs w:val="20"/>
          <w:rtl/>
          <w:lang w:bidi="ar-IQ"/>
        </w:rPr>
        <w:t>)</w:t>
      </w:r>
      <w:proofErr w:type="spellEnd"/>
    </w:p>
    <w:p w:rsidR="00296E3C" w:rsidRPr="00296E3C" w:rsidRDefault="00296E3C" w:rsidP="00296E3C">
      <w:pPr>
        <w:jc w:val="both"/>
        <w:rPr>
          <w:sz w:val="20"/>
          <w:szCs w:val="20"/>
          <w:rtl/>
          <w:lang w:bidi="ar-IQ"/>
        </w:rPr>
      </w:pPr>
      <w:proofErr w:type="spellStart"/>
      <w:r w:rsidRPr="00296E3C">
        <w:rPr>
          <w:sz w:val="20"/>
          <w:szCs w:val="20"/>
          <w:lang w:bidi="ar-IQ"/>
        </w:rPr>
        <w:t>Talcott</w:t>
      </w:r>
      <w:proofErr w:type="spellEnd"/>
      <w:r w:rsidRPr="00296E3C">
        <w:rPr>
          <w:sz w:val="20"/>
          <w:szCs w:val="20"/>
          <w:lang w:bidi="ar-IQ"/>
        </w:rPr>
        <w:t xml:space="preserve"> Parsons, The Social System, New York, 1951, P.153.                                    </w:t>
      </w:r>
      <w:r w:rsidRPr="00296E3C">
        <w:rPr>
          <w:rFonts w:hint="cs"/>
          <w:sz w:val="20"/>
          <w:szCs w:val="20"/>
          <w:rtl/>
          <w:lang w:bidi="ar-IQ"/>
        </w:rPr>
        <w:t>(2</w:t>
      </w:r>
      <w:proofErr w:type="spellStart"/>
      <w:r w:rsidRPr="00296E3C">
        <w:rPr>
          <w:rFonts w:hint="cs"/>
          <w:sz w:val="20"/>
          <w:szCs w:val="20"/>
          <w:rtl/>
          <w:lang w:bidi="ar-IQ"/>
        </w:rPr>
        <w:t>)</w:t>
      </w:r>
      <w:proofErr w:type="spellEnd"/>
    </w:p>
    <w:p w:rsidR="00296E3C" w:rsidRPr="00296E3C" w:rsidRDefault="00296E3C" w:rsidP="00296E3C">
      <w:pPr>
        <w:jc w:val="both"/>
        <w:rPr>
          <w:sz w:val="20"/>
          <w:szCs w:val="20"/>
          <w:rtl/>
          <w:lang w:bidi="ar-IQ"/>
        </w:rPr>
      </w:pPr>
      <w:r w:rsidRPr="00296E3C">
        <w:rPr>
          <w:sz w:val="20"/>
          <w:szCs w:val="20"/>
          <w:lang w:bidi="ar-IQ"/>
        </w:rPr>
        <w:t xml:space="preserve">Notes and Queries, up cit, P. 75-76                                                                               </w:t>
      </w:r>
      <w:r w:rsidRPr="00296E3C">
        <w:rPr>
          <w:rFonts w:hint="cs"/>
          <w:sz w:val="20"/>
          <w:szCs w:val="20"/>
          <w:rtl/>
          <w:lang w:bidi="ar-IQ"/>
        </w:rPr>
        <w:t>(3</w:t>
      </w:r>
      <w:proofErr w:type="spellStart"/>
      <w:r w:rsidRPr="00296E3C">
        <w:rPr>
          <w:rFonts w:hint="cs"/>
          <w:sz w:val="20"/>
          <w:szCs w:val="20"/>
          <w:rtl/>
          <w:lang w:bidi="ar-IQ"/>
        </w:rPr>
        <w:t>)</w:t>
      </w:r>
      <w:proofErr w:type="spellEnd"/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                            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مصطلحات القرابة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DB453A">
        <w:rPr>
          <w:b/>
          <w:bCs/>
          <w:sz w:val="32"/>
          <w:szCs w:val="32"/>
          <w:lang w:bidi="ar-IQ"/>
        </w:rPr>
        <w:t xml:space="preserve">The terms of Kinship 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حين يدرس الباحث الانثروبولوجي الاجتماعي نظام القرابة فإن الخطوة الاولى تبدأ بتسجيل مصطلحات القرابة , وهذه المجموعة من المصطلحات تستعمل في علاقات الافراد اثناء المخاطبة أو عندما ينادي شخص قريبه , ويمكن للباحث أن يصل الى معرفتها عن طريق استقرار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اسلوب النسب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b/>
          <w:bCs/>
          <w:sz w:val="32"/>
          <w:szCs w:val="32"/>
          <w:lang w:bidi="ar-IQ"/>
        </w:rPr>
        <w:t>Genealogical Method</w:t>
      </w:r>
      <w:r w:rsidRPr="00DB453A">
        <w:rPr>
          <w:rFonts w:hint="cs"/>
          <w:sz w:val="32"/>
          <w:szCs w:val="32"/>
          <w:rtl/>
          <w:lang w:bidi="ar-IQ"/>
        </w:rPr>
        <w:t xml:space="preserve"> أو من خلال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الملاحظة المباشرة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b/>
          <w:bCs/>
          <w:sz w:val="32"/>
          <w:szCs w:val="32"/>
          <w:lang w:bidi="ar-IQ"/>
        </w:rPr>
        <w:t>Direct Observation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كيف يخاطب الافراد بعضهم بعضا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بماذا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ينعت القريب قريبه الغائب خلال روتينهم اليومي , و بهذا يجب أن يكون الباحث الانثروبولوجي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دقيقآ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ملاحظتهم عند استخدام الافراد لهذا المصطلحات , كما هو الحال في كلمة عم أو خال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sz w:val="32"/>
          <w:szCs w:val="32"/>
          <w:lang w:bidi="ar-IQ"/>
        </w:rPr>
        <w:t>Uncle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اللغة الانكليزية  وربما تسبب بعض الاشكال أو اللبس على الباحث بما يترتب على هذا المعنى من التزامات قرابية عند استخدامها في مفهوم الانثروبولوجيا وليس بما هي متداولة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تقسم مصطلحات القرابة الى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96E3C" w:rsidRPr="00DB453A" w:rsidRDefault="00296E3C" w:rsidP="00296E3C">
      <w:pPr>
        <w:pStyle w:val="a3"/>
        <w:numPr>
          <w:ilvl w:val="0"/>
          <w:numId w:val="3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مصطلحات تصنيفية   </w:t>
      </w:r>
      <w:proofErr w:type="spellStart"/>
      <w:r w:rsidRPr="00DB453A">
        <w:rPr>
          <w:b/>
          <w:bCs/>
          <w:sz w:val="32"/>
          <w:szCs w:val="32"/>
          <w:lang w:bidi="ar-IQ"/>
        </w:rPr>
        <w:t>Classifactory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terms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</w:t>
      </w:r>
      <w:r w:rsidRPr="00DB453A">
        <w:rPr>
          <w:rFonts w:hint="cs"/>
          <w:sz w:val="32"/>
          <w:szCs w:val="32"/>
          <w:rtl/>
          <w:lang w:bidi="ar-IQ"/>
        </w:rPr>
        <w:t xml:space="preserve">             </w:t>
      </w:r>
    </w:p>
    <w:p w:rsidR="00296E3C" w:rsidRPr="00DB453A" w:rsidRDefault="00296E3C" w:rsidP="00296E3C">
      <w:pPr>
        <w:pStyle w:val="a3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وهي النعوت التي تطلق على اقارب  معينين و تعمم في الوقت عينه فتطلق على كل من هم كم جنس واحد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أو </w:t>
      </w:r>
      <w:r w:rsidRPr="00DB453A">
        <w:rPr>
          <w:rFonts w:hint="cs"/>
          <w:sz w:val="32"/>
          <w:szCs w:val="32"/>
          <w:rtl/>
          <w:lang w:bidi="ar-IQ"/>
        </w:rPr>
        <w:t xml:space="preserve">عمر أولئك الاقارب , و كل فرد من جنس معين و فئة عمرية اخا أو أبا أو جدا . </w:t>
      </w:r>
    </w:p>
    <w:p w:rsidR="00296E3C" w:rsidRPr="00DB453A" w:rsidRDefault="00296E3C" w:rsidP="00296E3C">
      <w:pPr>
        <w:pStyle w:val="a3"/>
        <w:numPr>
          <w:ilvl w:val="0"/>
          <w:numId w:val="3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مصطلحات وصفية   </w:t>
      </w:r>
      <w:r w:rsidRPr="00DB453A">
        <w:rPr>
          <w:b/>
          <w:bCs/>
          <w:sz w:val="32"/>
          <w:szCs w:val="32"/>
          <w:lang w:bidi="ar-IQ"/>
        </w:rPr>
        <w:t xml:space="preserve">Descriptive terms       </w:t>
      </w:r>
      <w:r w:rsidRPr="00DB453A">
        <w:rPr>
          <w:rFonts w:hint="cs"/>
          <w:sz w:val="32"/>
          <w:szCs w:val="32"/>
          <w:rtl/>
          <w:lang w:bidi="ar-IQ"/>
        </w:rPr>
        <w:t xml:space="preserve">                                        </w:t>
      </w:r>
    </w:p>
    <w:p w:rsidR="00296E3C" w:rsidRPr="00DB453A" w:rsidRDefault="00296E3C" w:rsidP="00296E3C">
      <w:pPr>
        <w:pStyle w:val="a3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وهي تصف العلاقة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الحقيقية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للاقارب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أي أن لكل شخص مصطلحا معينا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كالاب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الجد و الخال الخ . </w:t>
      </w:r>
    </w:p>
    <w:p w:rsidR="00296E3C" w:rsidRPr="00DB453A" w:rsidRDefault="00296E3C" w:rsidP="00296E3C">
      <w:pPr>
        <w:ind w:left="360"/>
        <w:jc w:val="both"/>
        <w:rPr>
          <w:b/>
          <w:bCs/>
          <w:sz w:val="32"/>
          <w:szCs w:val="32"/>
          <w:rtl/>
          <w:lang w:bidi="ar-IQ"/>
        </w:rPr>
      </w:pPr>
    </w:p>
    <w:p w:rsidR="00296E3C" w:rsidRPr="00DB453A" w:rsidRDefault="00296E3C" w:rsidP="00296E3C">
      <w:pPr>
        <w:ind w:left="360"/>
        <w:jc w:val="both"/>
        <w:rPr>
          <w:b/>
          <w:bCs/>
          <w:sz w:val="32"/>
          <w:szCs w:val="32"/>
          <w:rtl/>
          <w:lang w:bidi="ar-IQ"/>
        </w:rPr>
      </w:pPr>
    </w:p>
    <w:p w:rsidR="00296E3C" w:rsidRPr="00DB453A" w:rsidRDefault="00296E3C" w:rsidP="00296E3C">
      <w:pPr>
        <w:ind w:left="360"/>
        <w:jc w:val="both"/>
        <w:rPr>
          <w:b/>
          <w:bCs/>
          <w:sz w:val="32"/>
          <w:szCs w:val="32"/>
          <w:rtl/>
          <w:lang w:bidi="ar-IQ"/>
        </w:rPr>
      </w:pP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32"/>
          <w:szCs w:val="32"/>
          <w:rtl/>
          <w:lang w:bidi="ar-IQ"/>
        </w:rPr>
        <w:t>ــــــ</w:t>
      </w:r>
    </w:p>
    <w:p w:rsidR="00296E3C" w:rsidRPr="00DB453A" w:rsidRDefault="00296E3C" w:rsidP="00296E3C">
      <w:pPr>
        <w:ind w:left="360"/>
        <w:jc w:val="both"/>
        <w:rPr>
          <w:sz w:val="32"/>
          <w:szCs w:val="32"/>
          <w:rtl/>
          <w:lang w:bidi="ar-IQ"/>
        </w:rPr>
      </w:pPr>
      <w:r w:rsidRPr="00DB453A"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>1=</w:t>
      </w:r>
      <w:r w:rsidRPr="00DB453A">
        <w:rPr>
          <w:sz w:val="32"/>
          <w:szCs w:val="32"/>
          <w:lang w:bidi="ar-IQ"/>
        </w:rPr>
        <w:t xml:space="preserve">Notes and Queries, Op cit, P. 76                                                                             </w:t>
      </w:r>
    </w:p>
    <w:p w:rsidR="00296E3C" w:rsidRPr="00DB453A" w:rsidRDefault="00296E3C" w:rsidP="00296E3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(2)د. محمد رياض , المصدر المذكور آنفا , ص 529</w:t>
      </w:r>
    </w:p>
    <w:p w:rsidR="00DA3F11" w:rsidRPr="00296E3C" w:rsidRDefault="00296E3C" w:rsidP="00296E3C">
      <w:pPr>
        <w:rPr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                                         </w:t>
      </w:r>
    </w:p>
    <w:sectPr w:rsidR="00DA3F11" w:rsidRPr="00296E3C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2A02"/>
    <w:multiLevelType w:val="hybridMultilevel"/>
    <w:tmpl w:val="F20A2A20"/>
    <w:lvl w:ilvl="0" w:tplc="D9564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546DF"/>
    <w:multiLevelType w:val="hybridMultilevel"/>
    <w:tmpl w:val="3828D87A"/>
    <w:lvl w:ilvl="0" w:tplc="F5DE05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F2C21"/>
    <w:multiLevelType w:val="hybridMultilevel"/>
    <w:tmpl w:val="ADD085DA"/>
    <w:lvl w:ilvl="0" w:tplc="15B8B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6E3C"/>
    <w:rsid w:val="00296E3C"/>
    <w:rsid w:val="002D1217"/>
    <w:rsid w:val="002E2E27"/>
    <w:rsid w:val="00343B92"/>
    <w:rsid w:val="0093611F"/>
    <w:rsid w:val="00DA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1103</Words>
  <Characters>6292</Characters>
  <Application>Microsoft Office Word</Application>
  <DocSecurity>0</DocSecurity>
  <Lines>52</Lines>
  <Paragraphs>14</Paragraphs>
  <ScaleCrop>false</ScaleCrop>
  <Company>Hewlett-Packard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3</cp:revision>
  <dcterms:created xsi:type="dcterms:W3CDTF">2020-01-07T16:02:00Z</dcterms:created>
  <dcterms:modified xsi:type="dcterms:W3CDTF">2020-01-29T18:17:00Z</dcterms:modified>
</cp:coreProperties>
</file>