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CFE" w:rsidRPr="00A62427" w:rsidRDefault="00365CFE" w:rsidP="00365CFE">
      <w:pPr>
        <w:pStyle w:val="a3"/>
        <w:jc w:val="both"/>
        <w:rPr>
          <w:rFonts w:ascii="Simplified Arabic" w:hAnsi="Simplified Arabic" w:cs="Simplified Arabic"/>
          <w:b/>
          <w:bCs/>
          <w:sz w:val="28"/>
          <w:szCs w:val="28"/>
          <w:rtl/>
        </w:rPr>
      </w:pPr>
      <w:r w:rsidRPr="00A62427">
        <w:rPr>
          <w:rFonts w:ascii="Simplified Arabic" w:hAnsi="Simplified Arabic" w:cs="Simplified Arabic"/>
          <w:b/>
          <w:bCs/>
          <w:sz w:val="28"/>
          <w:szCs w:val="28"/>
          <w:rtl/>
        </w:rPr>
        <w:t>ثانياً : ثورة 14 تموز وانحسار الروابط العشائرية</w:t>
      </w:r>
      <w:r w:rsidRPr="00A62427">
        <w:rPr>
          <w:rFonts w:ascii="Simplified Arabic" w:hAnsi="Simplified Arabic" w:cs="Simplified Arabic" w:hint="cs"/>
          <w:b/>
          <w:bCs/>
          <w:sz w:val="28"/>
          <w:szCs w:val="28"/>
          <w:rtl/>
        </w:rPr>
        <w:t>:</w:t>
      </w:r>
    </w:p>
    <w:p w:rsidR="00365CFE" w:rsidRDefault="00365CFE" w:rsidP="00365CFE">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شهـدت الفـتـرة التي تـلـت ثورة 14 تموز </w:t>
      </w:r>
      <w:r>
        <w:rPr>
          <w:rFonts w:ascii="Simplified Arabic" w:hAnsi="Simplified Arabic" w:cs="Simplified Arabic" w:hint="cs"/>
          <w:sz w:val="28"/>
          <w:szCs w:val="28"/>
          <w:rtl/>
        </w:rPr>
        <w:t>(1958)</w:t>
      </w:r>
      <w:r w:rsidRPr="00987926">
        <w:rPr>
          <w:rFonts w:ascii="Simplified Arabic" w:hAnsi="Simplified Arabic" w:cs="Simplified Arabic"/>
          <w:sz w:val="28"/>
          <w:szCs w:val="28"/>
          <w:rtl/>
        </w:rPr>
        <w:t xml:space="preserve"> ولغايـة انقلاب الردة في شـباط </w:t>
      </w:r>
      <w:r>
        <w:rPr>
          <w:rFonts w:ascii="Simplified Arabic" w:hAnsi="Simplified Arabic" w:cs="Simplified Arabic" w:hint="cs"/>
          <w:sz w:val="28"/>
          <w:szCs w:val="28"/>
          <w:rtl/>
        </w:rPr>
        <w:t>(1963)</w:t>
      </w:r>
      <w:r w:rsidRPr="00987926">
        <w:rPr>
          <w:rFonts w:ascii="Simplified Arabic" w:hAnsi="Simplified Arabic" w:cs="Simplified Arabic"/>
          <w:sz w:val="28"/>
          <w:szCs w:val="28"/>
          <w:rtl/>
        </w:rPr>
        <w:t xml:space="preserve"> تفكك النظام العشائري المستند إلى علاقات الإنتاج الإقـطاعـيـة بعد تشريع قانون الإصلاح الزراعي رقم 30 عام </w:t>
      </w:r>
      <w:r>
        <w:rPr>
          <w:rFonts w:ascii="Simplified Arabic" w:hAnsi="Simplified Arabic" w:cs="Simplified Arabic" w:hint="cs"/>
          <w:sz w:val="28"/>
          <w:szCs w:val="28"/>
          <w:rtl/>
        </w:rPr>
        <w:t>(1958)</w:t>
      </w:r>
      <w:r w:rsidRPr="00987926">
        <w:rPr>
          <w:rFonts w:ascii="Simplified Arabic" w:hAnsi="Simplified Arabic" w:cs="Simplified Arabic"/>
          <w:sz w:val="28"/>
          <w:szCs w:val="28"/>
          <w:rtl/>
        </w:rPr>
        <w:t>، وإلغاء قانون دعاوى الـعـشـائـر، وترافـق ذلك مـع نزوح أعداد كبـيـرة من سكـان الريف إلى بـغـداد، البـصـرة، الموصل، إضاف</w:t>
      </w:r>
      <w:r>
        <w:rPr>
          <w:rFonts w:ascii="Simplified Arabic" w:hAnsi="Simplified Arabic" w:cs="Simplified Arabic"/>
          <w:sz w:val="28"/>
          <w:szCs w:val="28"/>
          <w:rtl/>
        </w:rPr>
        <w:t xml:space="preserve">ة إلى مراكـز المحافـظات الأخرى </w:t>
      </w:r>
      <w:r w:rsidRPr="00987926">
        <w:rPr>
          <w:rFonts w:ascii="Simplified Arabic" w:hAnsi="Simplified Arabic" w:cs="Simplified Arabic"/>
          <w:sz w:val="28"/>
          <w:szCs w:val="28"/>
          <w:rtl/>
        </w:rPr>
        <w:t>ما أدى إلى تغـيـيـر التركيـبة الاجتماعـيـة لصالح الطـبـقـات المديـنـيـة. لقد كانت ثورة 14 تموز والـنـظـام الذي أقامته محـاولة جـادة لخلق مجـتـمع قـائـم على مؤسسات سياسية واج</w:t>
      </w:r>
      <w:r>
        <w:rPr>
          <w:rFonts w:ascii="Simplified Arabic" w:hAnsi="Simplified Arabic" w:cs="Simplified Arabic"/>
          <w:sz w:val="28"/>
          <w:szCs w:val="28"/>
          <w:rtl/>
        </w:rPr>
        <w:t>تماعية بعيدة عن النفوذ العشائري</w:t>
      </w:r>
      <w:r w:rsidRPr="00987926">
        <w:rPr>
          <w:rFonts w:ascii="Simplified Arabic" w:hAnsi="Simplified Arabic" w:cs="Simplified Arabic"/>
          <w:sz w:val="28"/>
          <w:szCs w:val="28"/>
          <w:rtl/>
        </w:rPr>
        <w:t xml:space="preserve">، لكن الظروف التي رافقت مسيرة الثورة، خاصة الصراعات الاجتماعية والسـيـاسية الحـادة، ساهـمت في انبعاث تحالفات [خاصة في المؤسسة العسكرية ] قائـمة على الولاءات المحلية والإقليمية، الأمر الذي أدى إلى انتعـاش العلاقـات العشائـرية خلال الفـتـرة التي تلت انقلاب شباط </w:t>
      </w:r>
      <w:r>
        <w:rPr>
          <w:rFonts w:ascii="Simplified Arabic" w:hAnsi="Simplified Arabic" w:cs="Simplified Arabic" w:hint="cs"/>
          <w:sz w:val="28"/>
          <w:szCs w:val="28"/>
          <w:rtl/>
        </w:rPr>
        <w:t>(1963)</w:t>
      </w:r>
      <w:r w:rsidRPr="00987926">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p>
    <w:p w:rsidR="00365CFE" w:rsidRPr="00987926" w:rsidRDefault="00365CFE" w:rsidP="00365CFE">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استـفادت السـلطـة بعد انـقـلاب تموز </w:t>
      </w:r>
      <w:r>
        <w:rPr>
          <w:rFonts w:ascii="Simplified Arabic" w:hAnsi="Simplified Arabic" w:cs="Simplified Arabic" w:hint="cs"/>
          <w:sz w:val="28"/>
          <w:szCs w:val="28"/>
          <w:rtl/>
        </w:rPr>
        <w:t>(1968)</w:t>
      </w:r>
      <w:r w:rsidRPr="00987926">
        <w:rPr>
          <w:rFonts w:ascii="Simplified Arabic" w:hAnsi="Simplified Arabic" w:cs="Simplified Arabic"/>
          <w:sz w:val="28"/>
          <w:szCs w:val="28"/>
          <w:rtl/>
        </w:rPr>
        <w:t xml:space="preserve"> من النزعة الإقليمية وغلـفـتها بشعارات سـياسـيـة وأيديولوجـية بهدف تعزيز سيطرتها على الدولة ومؤسساتها الاجتماعية المخـتـلـفة. ولأول مـرة أصبح الولاء الإقليمي (المسيس في البداية) أساس النفوذ الاجتماعي والسياسي، وخلال تلك الفترة حدثت انتقالات وتغييرات ناجمة عن تفاقم الصراع داخل القمة الحاكمة، حيث جرى حسم الصراع عام </w:t>
      </w:r>
      <w:r>
        <w:rPr>
          <w:rFonts w:ascii="Simplified Arabic" w:hAnsi="Simplified Arabic" w:cs="Simplified Arabic" w:hint="cs"/>
          <w:sz w:val="28"/>
          <w:szCs w:val="28"/>
          <w:rtl/>
        </w:rPr>
        <w:t>(1973)</w:t>
      </w:r>
      <w:r w:rsidRPr="00987926">
        <w:rPr>
          <w:rFonts w:ascii="Simplified Arabic" w:hAnsi="Simplified Arabic" w:cs="Simplified Arabic"/>
          <w:sz w:val="28"/>
          <w:szCs w:val="28"/>
          <w:rtl/>
        </w:rPr>
        <w:t xml:space="preserve"> لصالح مناطق ومدن معينة، مثل تكريت التي تمتاز بقوة علاقاتها العشائرية مقارنة بأبناء المناطق الأخرى التي شاركت في الحكم بعد انقلاب تموز </w:t>
      </w:r>
      <w:r>
        <w:rPr>
          <w:rFonts w:ascii="Simplified Arabic" w:hAnsi="Simplified Arabic" w:cs="Simplified Arabic" w:hint="cs"/>
          <w:sz w:val="28"/>
          <w:szCs w:val="28"/>
          <w:rtl/>
        </w:rPr>
        <w:t>(1968)</w:t>
      </w:r>
      <w:r w:rsidRPr="00987926">
        <w:rPr>
          <w:rFonts w:ascii="Simplified Arabic" w:hAnsi="Simplified Arabic" w:cs="Simplified Arabic"/>
          <w:sz w:val="28"/>
          <w:szCs w:val="28"/>
          <w:rtl/>
        </w:rPr>
        <w:t>.</w:t>
      </w:r>
    </w:p>
    <w:p w:rsidR="00365CFE" w:rsidRPr="00A62427" w:rsidRDefault="00365CFE" w:rsidP="00365CFE">
      <w:pPr>
        <w:pStyle w:val="a3"/>
        <w:jc w:val="both"/>
        <w:rPr>
          <w:rFonts w:ascii="Simplified Arabic" w:hAnsi="Simplified Arabic" w:cs="Simplified Arabic"/>
          <w:b/>
          <w:bCs/>
          <w:sz w:val="28"/>
          <w:szCs w:val="28"/>
          <w:rtl/>
        </w:rPr>
      </w:pPr>
      <w:r w:rsidRPr="00A62427">
        <w:rPr>
          <w:rFonts w:ascii="Simplified Arabic" w:hAnsi="Simplified Arabic" w:cs="Simplified Arabic"/>
          <w:b/>
          <w:bCs/>
          <w:sz w:val="28"/>
          <w:szCs w:val="28"/>
          <w:rtl/>
        </w:rPr>
        <w:t>ثالثاً: حروب السلطة وانبعاث المؤسسة العشائرية</w:t>
      </w:r>
      <w:r w:rsidRPr="00A62427">
        <w:rPr>
          <w:rFonts w:ascii="Simplified Arabic" w:hAnsi="Simplified Arabic" w:cs="Simplified Arabic" w:hint="cs"/>
          <w:b/>
          <w:bCs/>
          <w:sz w:val="28"/>
          <w:szCs w:val="28"/>
          <w:rtl/>
        </w:rPr>
        <w:t>:</w:t>
      </w:r>
    </w:p>
    <w:p w:rsidR="00365CFE" w:rsidRDefault="00365CFE" w:rsidP="00365CFE">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بدأت السلطة خلال السبعينات في السيطرة التدريجية على مؤسسات المجتمع</w:t>
      </w:r>
      <w:r>
        <w:rPr>
          <w:rFonts w:ascii="Simplified Arabic" w:hAnsi="Simplified Arabic" w:cs="Simplified Arabic" w:hint="cs"/>
          <w:sz w:val="28"/>
          <w:szCs w:val="28"/>
          <w:rtl/>
        </w:rPr>
        <w:t xml:space="preserve"> كافة</w:t>
      </w:r>
      <w:r w:rsidRPr="00987926">
        <w:rPr>
          <w:rFonts w:ascii="Simplified Arabic" w:hAnsi="Simplified Arabic" w:cs="Simplified Arabic"/>
          <w:sz w:val="28"/>
          <w:szCs w:val="28"/>
          <w:rtl/>
        </w:rPr>
        <w:t>، مبتدئة بالمنظمات الاجتماعية والمهنية والثقافية والقسم الأكبر من وسائل الأعلام. ثم حاولت السيطرة على الأحزاب السياسية والقسم المتبقي من الصحافة الحر</w:t>
      </w:r>
      <w:r>
        <w:rPr>
          <w:rFonts w:ascii="Simplified Arabic" w:hAnsi="Simplified Arabic" w:cs="Simplified Arabic"/>
          <w:sz w:val="28"/>
          <w:szCs w:val="28"/>
          <w:rtl/>
        </w:rPr>
        <w:t>ة مستخدمة بذلك الترغيب والإرهاب</w:t>
      </w:r>
      <w:r>
        <w:rPr>
          <w:rFonts w:ascii="Simplified Arabic" w:hAnsi="Simplified Arabic" w:cs="Simplified Arabic" w:hint="cs"/>
          <w:sz w:val="28"/>
          <w:szCs w:val="28"/>
          <w:rtl/>
        </w:rPr>
        <w:t>.</w:t>
      </w:r>
    </w:p>
    <w:p w:rsidR="00365CFE" w:rsidRPr="00987926" w:rsidRDefault="00365CFE" w:rsidP="00365CFE">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إن سيطرة الدولة وتوسع نشاطها في جميع نواحي الحياة الاقتصادية والاجتماعية والثقافية أدى إلى نتيجة مزدوجة، فمن جهة أدى إلى تنامي الفئات الوسطى [قـدّر عدد موظفي الدولة بحوالي 600 ألف باستثناء أفراد الأجهزة العسكرية في بداية الثمانينات].</w:t>
      </w:r>
    </w:p>
    <w:p w:rsidR="00365CFE" w:rsidRPr="00987926" w:rsidRDefault="00365CFE" w:rsidP="00365CFE">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ومن جهة ثانية اعتماد الطبقة الوسطى، اقتصادياً، على الدولة، الأمر الذي أدى إلى ارتباطها بتوجهات السلطة وبالتالي توسع قاعدتها الاجتماعية التي كانت تتألف بالإضافة إلى فئات كبيرة من الطبقة الوسطى، من فئات تضم البرجوازية البيروقراطية وفئة طفيلية (أصحاب العقارات، السماسرة والمقاولون). وقد استفادت هذه الفئات كثيراً من التغير الذي حصل في توجه السلطة في بداية الثمانينات والذي استند إلى معايير الولاء السياسي والروابط العشائرية كأساس للإثراء. وترافق مع هذا التوجه تراجع دور الدولة في القطاع الزراعي، حيث دعمت إقامة مشاريع زراعية إنتاجية خاصة وأصدرت السلطة القانون رقم 35 لعام </w:t>
      </w:r>
      <w:r>
        <w:rPr>
          <w:rFonts w:ascii="Simplified Arabic" w:hAnsi="Simplified Arabic" w:cs="Simplified Arabic" w:hint="cs"/>
          <w:sz w:val="28"/>
          <w:szCs w:val="28"/>
          <w:rtl/>
        </w:rPr>
        <w:t>(1983)</w:t>
      </w:r>
      <w:r w:rsidRPr="00987926">
        <w:rPr>
          <w:rFonts w:ascii="Simplified Arabic" w:hAnsi="Simplified Arabic" w:cs="Simplified Arabic"/>
          <w:sz w:val="28"/>
          <w:szCs w:val="28"/>
          <w:rtl/>
        </w:rPr>
        <w:t xml:space="preserve">، الذي سمح للشركات الأجنبية </w:t>
      </w:r>
      <w:r w:rsidRPr="00987926">
        <w:rPr>
          <w:rFonts w:ascii="Simplified Arabic" w:hAnsi="Simplified Arabic" w:cs="Simplified Arabic"/>
          <w:sz w:val="28"/>
          <w:szCs w:val="28"/>
          <w:rtl/>
        </w:rPr>
        <w:lastRenderedPageBreak/>
        <w:t>والقطاع الخاص باستثمار الأراضي الزراعية. في بداية التسعينات حدث تغير كبير في دور الدولة الاقتصادي بسبب الأزمة الشاملة التي أصابت المجتمع نتيجة حروب السلطة والحصار الاقتصادي، بحيث تقلص إلى حد كبير العائد المالي الذي تحصل عليه السلطة، مما أدى إلى حدوث حراك اجتماعي (نمو فئات على حساب فئات أخرى وتفتيت وانتقال من حالة إلى أخرى) وكان من أهم نتائج ذلك انحسار القاعدة الاج</w:t>
      </w:r>
      <w:r>
        <w:rPr>
          <w:rFonts w:ascii="Simplified Arabic" w:hAnsi="Simplified Arabic" w:cs="Simplified Arabic"/>
          <w:sz w:val="28"/>
          <w:szCs w:val="28"/>
          <w:rtl/>
        </w:rPr>
        <w:t>تماعية للسلطة الذي تمثل بما يلي</w:t>
      </w:r>
      <w:r w:rsidRPr="00987926">
        <w:rPr>
          <w:rFonts w:ascii="Simplified Arabic" w:hAnsi="Simplified Arabic" w:cs="Simplified Arabic"/>
          <w:sz w:val="28"/>
          <w:szCs w:val="28"/>
          <w:rtl/>
        </w:rPr>
        <w:t>:</w:t>
      </w:r>
    </w:p>
    <w:p w:rsidR="00365CFE" w:rsidRPr="00987926" w:rsidRDefault="00365CFE" w:rsidP="00365CFE">
      <w:pPr>
        <w:pStyle w:val="a3"/>
        <w:jc w:val="both"/>
        <w:rPr>
          <w:rFonts w:ascii="Simplified Arabic" w:hAnsi="Simplified Arabic" w:cs="Simplified Arabic"/>
          <w:sz w:val="28"/>
          <w:szCs w:val="28"/>
          <w:rtl/>
        </w:rPr>
      </w:pPr>
      <w:r w:rsidRPr="00987926">
        <w:rPr>
          <w:rFonts w:ascii="Simplified Arabic" w:hAnsi="Simplified Arabic" w:cs="Simplified Arabic"/>
          <w:sz w:val="28"/>
          <w:szCs w:val="28"/>
          <w:rtl/>
        </w:rPr>
        <w:t>أ</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إفقار الفئات الوسطى وتهميش دورها الاجتماعي والسياسي وما نتج عنه من ابتعاد فئات واسعة منها عن السلطة الذي بدأ في منتصف الثمانينات بسبب الإفقار المتزايد وزجها بحروب الدكتاتورية، الداخلية والخارجية، وقد استمرت هذه العملية بالاتساع بعد حرب الخليج الثانية.</w:t>
      </w:r>
    </w:p>
    <w:p w:rsidR="00365CFE" w:rsidRPr="00987926" w:rsidRDefault="00365CFE" w:rsidP="00365CFE">
      <w:pPr>
        <w:pStyle w:val="a3"/>
        <w:jc w:val="both"/>
        <w:rPr>
          <w:rFonts w:ascii="Simplified Arabic" w:hAnsi="Simplified Arabic" w:cs="Simplified Arabic"/>
          <w:sz w:val="28"/>
          <w:szCs w:val="28"/>
          <w:rtl/>
        </w:rPr>
      </w:pPr>
      <w:r w:rsidRPr="00987926">
        <w:rPr>
          <w:rFonts w:ascii="Simplified Arabic" w:hAnsi="Simplified Arabic" w:cs="Simplified Arabic"/>
          <w:sz w:val="28"/>
          <w:szCs w:val="28"/>
          <w:rtl/>
        </w:rPr>
        <w:t>ب</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تـقـلص حجم البرجوازية البيروقراطية، المدنية والعسكرية، وتحول أعداد مـتـزايدة منها، إلى مجال السمسرة والتجارة وانـتـقـال أقـسـام منها إلى الفـئـات الوسطى.</w:t>
      </w:r>
    </w:p>
    <w:p w:rsidR="00365CFE" w:rsidRPr="00987926" w:rsidRDefault="00365CFE" w:rsidP="00365CFE">
      <w:pPr>
        <w:pStyle w:val="a3"/>
        <w:jc w:val="both"/>
        <w:rPr>
          <w:rFonts w:ascii="Simplified Arabic" w:hAnsi="Simplified Arabic" w:cs="Simplified Arabic"/>
          <w:sz w:val="28"/>
          <w:szCs w:val="28"/>
        </w:rPr>
      </w:pPr>
      <w:r w:rsidRPr="00987926">
        <w:rPr>
          <w:rFonts w:ascii="Simplified Arabic" w:hAnsi="Simplified Arabic" w:cs="Simplified Arabic"/>
          <w:sz w:val="28"/>
          <w:szCs w:val="28"/>
          <w:rtl/>
        </w:rPr>
        <w:t>ج</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الصراعات داخل الطغمة الحاكمة وما نتج عنها من توسع الإرهاب الذي شمل أقساماً من القوى المؤيدة للنظام.</w:t>
      </w:r>
    </w:p>
    <w:p w:rsidR="00365CFE" w:rsidRDefault="00365CFE" w:rsidP="00365CFE">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تحدثنا عن طبيعة هذه الحروب وما خلفته من </w:t>
      </w:r>
      <w:r>
        <w:rPr>
          <w:rFonts w:ascii="Simplified Arabic" w:hAnsi="Simplified Arabic" w:cs="Simplified Arabic" w:hint="cs"/>
          <w:sz w:val="28"/>
          <w:szCs w:val="28"/>
          <w:rtl/>
        </w:rPr>
        <w:t>آ</w:t>
      </w:r>
      <w:r w:rsidRPr="00987926">
        <w:rPr>
          <w:rFonts w:ascii="Simplified Arabic" w:hAnsi="Simplified Arabic" w:cs="Simplified Arabic" w:hint="cs"/>
          <w:sz w:val="28"/>
          <w:szCs w:val="28"/>
          <w:rtl/>
        </w:rPr>
        <w:t>ثار</w:t>
      </w:r>
      <w:r w:rsidRPr="00987926">
        <w:rPr>
          <w:rFonts w:ascii="Simplified Arabic" w:hAnsi="Simplified Arabic" w:cs="Simplified Arabic"/>
          <w:sz w:val="28"/>
          <w:szCs w:val="28"/>
          <w:rtl/>
        </w:rPr>
        <w:t xml:space="preserve"> عدة على واقع المجتمع العراقي من بطالة وح</w:t>
      </w:r>
      <w:r>
        <w:rPr>
          <w:rFonts w:ascii="Simplified Arabic" w:hAnsi="Simplified Arabic" w:cs="Simplified Arabic"/>
          <w:sz w:val="28"/>
          <w:szCs w:val="28"/>
          <w:rtl/>
        </w:rPr>
        <w:t>رمان وفقر وحصار اقتصادي وثقافي</w:t>
      </w:r>
      <w:r w:rsidRPr="00987926">
        <w:rPr>
          <w:rFonts w:ascii="Simplified Arabic" w:hAnsi="Simplified Arabic" w:cs="Simplified Arabic"/>
          <w:sz w:val="28"/>
          <w:szCs w:val="28"/>
          <w:rtl/>
        </w:rPr>
        <w:t xml:space="preserve">. وهذا </w:t>
      </w:r>
      <w:r w:rsidRPr="00987926">
        <w:rPr>
          <w:rFonts w:ascii="Simplified Arabic" w:hAnsi="Simplified Arabic" w:cs="Simplified Arabic" w:hint="cs"/>
          <w:sz w:val="28"/>
          <w:szCs w:val="28"/>
          <w:rtl/>
        </w:rPr>
        <w:t>الأمر</w:t>
      </w:r>
      <w:r w:rsidRPr="00987926">
        <w:rPr>
          <w:rFonts w:ascii="Simplified Arabic" w:hAnsi="Simplified Arabic" w:cs="Simplified Arabic"/>
          <w:sz w:val="28"/>
          <w:szCs w:val="28"/>
          <w:rtl/>
        </w:rPr>
        <w:t xml:space="preserve"> </w:t>
      </w:r>
      <w:r w:rsidRPr="00987926">
        <w:rPr>
          <w:rFonts w:ascii="Simplified Arabic" w:hAnsi="Simplified Arabic" w:cs="Simplified Arabic" w:hint="cs"/>
          <w:sz w:val="28"/>
          <w:szCs w:val="28"/>
          <w:rtl/>
        </w:rPr>
        <w:t>أدى</w:t>
      </w:r>
      <w:r w:rsidRPr="00987926">
        <w:rPr>
          <w:rFonts w:ascii="Simplified Arabic" w:hAnsi="Simplified Arabic" w:cs="Simplified Arabic"/>
          <w:sz w:val="28"/>
          <w:szCs w:val="28"/>
          <w:rtl/>
        </w:rPr>
        <w:t xml:space="preserve"> بالسلطة </w:t>
      </w:r>
      <w:r w:rsidRPr="00987926">
        <w:rPr>
          <w:rFonts w:ascii="Simplified Arabic" w:hAnsi="Simplified Arabic" w:cs="Simplified Arabic" w:hint="cs"/>
          <w:sz w:val="28"/>
          <w:szCs w:val="28"/>
          <w:rtl/>
        </w:rPr>
        <w:t>إلى</w:t>
      </w:r>
      <w:r w:rsidRPr="00987926">
        <w:rPr>
          <w:rFonts w:ascii="Simplified Arabic" w:hAnsi="Simplified Arabic" w:cs="Simplified Arabic"/>
          <w:sz w:val="28"/>
          <w:szCs w:val="28"/>
          <w:rtl/>
        </w:rPr>
        <w:t xml:space="preserve"> فقدان مشروعيتها داخل الوسط الاجتماعي للمجتمع العراقي وجعلها تلجأ </w:t>
      </w:r>
      <w:r w:rsidRPr="00987926">
        <w:rPr>
          <w:rFonts w:ascii="Simplified Arabic" w:hAnsi="Simplified Arabic" w:cs="Simplified Arabic" w:hint="cs"/>
          <w:sz w:val="28"/>
          <w:szCs w:val="28"/>
          <w:rtl/>
        </w:rPr>
        <w:t>إلى</w:t>
      </w:r>
      <w:r w:rsidRPr="00987926">
        <w:rPr>
          <w:rFonts w:ascii="Simplified Arabic" w:hAnsi="Simplified Arabic" w:cs="Simplified Arabic"/>
          <w:sz w:val="28"/>
          <w:szCs w:val="28"/>
          <w:rtl/>
        </w:rPr>
        <w:t xml:space="preserve"> المؤسسة العشائرية لتساندها في تحقيق سطوتها وهيمنتها </w:t>
      </w:r>
      <w:r>
        <w:rPr>
          <w:rFonts w:ascii="Simplified Arabic" w:hAnsi="Simplified Arabic" w:cs="Simplified Arabic"/>
          <w:sz w:val="28"/>
          <w:szCs w:val="28"/>
          <w:rtl/>
        </w:rPr>
        <w:t>التي فقدتها على المجتمع العراقي</w:t>
      </w:r>
      <w:r w:rsidRPr="00987926">
        <w:rPr>
          <w:rFonts w:ascii="Simplified Arabic" w:hAnsi="Simplified Arabic" w:cs="Simplified Arabic"/>
          <w:sz w:val="28"/>
          <w:szCs w:val="28"/>
          <w:rtl/>
        </w:rPr>
        <w:t xml:space="preserve">. </w:t>
      </w:r>
    </w:p>
    <w:p w:rsidR="00365CFE" w:rsidRPr="00987926" w:rsidRDefault="00365CFE" w:rsidP="00365CFE">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 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هذه العوامل أدت إلى تمركز السلطة بيد العشيرة الحاكمة. لقد اشر هذا التمركز إلى تغييرات سريعة في مواقع العشائر المؤيدة للنظام. ففي البداية تحكمت عشائر معينة خلال فترة الحرب العراقية الإيرانية، من خلال السيطرة على المؤسسة العسكرية وتقاسم النفوذ الاقتصادي مع عشائر أخرى، مؤيدة للنظام. ونتيجة لتفاقم الصراع داخل الطغمة الحاكمة أزيحت عشائر كان لها دور مشهود في حسم الصراع في المجتمع، الذي احتدم لدرجة كبيرة بسبب الهزيمة القاسية بعد حرب الخليج الثانية </w:t>
      </w:r>
      <w:r>
        <w:rPr>
          <w:rFonts w:ascii="Simplified Arabic" w:hAnsi="Simplified Arabic" w:cs="Simplified Arabic" w:hint="cs"/>
          <w:sz w:val="28"/>
          <w:szCs w:val="28"/>
          <w:rtl/>
        </w:rPr>
        <w:t>(1991)</w:t>
      </w:r>
      <w:r w:rsidRPr="00987926">
        <w:rPr>
          <w:rFonts w:ascii="Simplified Arabic" w:hAnsi="Simplified Arabic" w:cs="Simplified Arabic"/>
          <w:sz w:val="28"/>
          <w:szCs w:val="28"/>
          <w:rtl/>
        </w:rPr>
        <w:t xml:space="preserve">، لصالح استمرار السيطرة على مقاليد السلطة بعد الانتفاضة الشعبية الواسعة في آذار </w:t>
      </w:r>
      <w:r>
        <w:rPr>
          <w:rFonts w:ascii="Simplified Arabic" w:hAnsi="Simplified Arabic" w:cs="Simplified Arabic" w:hint="cs"/>
          <w:sz w:val="28"/>
          <w:szCs w:val="28"/>
          <w:rtl/>
        </w:rPr>
        <w:t>(1991)</w:t>
      </w:r>
      <w:r w:rsidRPr="00987926">
        <w:rPr>
          <w:rFonts w:ascii="Simplified Arabic" w:hAnsi="Simplified Arabic" w:cs="Simplified Arabic"/>
          <w:sz w:val="28"/>
          <w:szCs w:val="28"/>
          <w:rtl/>
        </w:rPr>
        <w:t>، حيث لعبت العشائرية الممزوجة بال</w:t>
      </w:r>
      <w:r>
        <w:rPr>
          <w:rFonts w:ascii="Simplified Arabic" w:hAnsi="Simplified Arabic" w:cs="Simplified Arabic"/>
          <w:sz w:val="28"/>
          <w:szCs w:val="28"/>
          <w:rtl/>
        </w:rPr>
        <w:t>طائفية دوراً كبيراً بهذا المجال</w:t>
      </w:r>
      <w:r w:rsidRPr="00987926">
        <w:rPr>
          <w:rFonts w:ascii="Simplified Arabic" w:hAnsi="Simplified Arabic" w:cs="Simplified Arabic"/>
          <w:sz w:val="28"/>
          <w:szCs w:val="28"/>
          <w:rtl/>
        </w:rPr>
        <w:t>.</w:t>
      </w:r>
    </w:p>
    <w:p w:rsidR="00365CFE" w:rsidRDefault="00365CFE" w:rsidP="00365CFE">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حروب السلطة ونتائجها (استمرار الحصار الاقتصادي، انكماش أجهزة الدولة، </w:t>
      </w:r>
      <w:r>
        <w:rPr>
          <w:rFonts w:ascii="Simplified Arabic" w:hAnsi="Simplified Arabic" w:cs="Simplified Arabic" w:hint="cs"/>
          <w:sz w:val="28"/>
          <w:szCs w:val="28"/>
          <w:rtl/>
        </w:rPr>
        <w:t>ولاسيما</w:t>
      </w:r>
      <w:r w:rsidRPr="00987926">
        <w:rPr>
          <w:rFonts w:ascii="Simplified Arabic" w:hAnsi="Simplified Arabic" w:cs="Simplified Arabic"/>
          <w:sz w:val="28"/>
          <w:szCs w:val="28"/>
          <w:rtl/>
        </w:rPr>
        <w:t xml:space="preserve"> الجيش والأجهزة الأخرى وكذلك الحزب الحاكم) أجبرت السلطة على البحث عن وسائل للمحافظة على ما تبقى من نفوذها، خاصة في الوسط والجنوب، فتوجهت لاستخدام العشائرية وقيمها وأعرافها مرة أخرى لتكون السند الأساسي لسلطة العشيرة، بعد أن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تقلصت قاعدتها الاجتماعية، ووسيلة لتصريف الأزمة في قمة السلطة، لذلك لجأت إلى تنشيط دور عدد كبير من الشيوخ، أو تنصيب شيوخ مزعومين، من خلال إحيائها قانون دعاوى العشائر، وأعطت الشيوخ سلطات </w:t>
      </w:r>
      <w:r w:rsidRPr="00987926">
        <w:rPr>
          <w:rFonts w:ascii="Simplified Arabic" w:hAnsi="Simplified Arabic" w:cs="Simplified Arabic"/>
          <w:sz w:val="28"/>
          <w:szCs w:val="28"/>
          <w:rtl/>
        </w:rPr>
        <w:lastRenderedPageBreak/>
        <w:t>قضائية عبر جعل الأعراف العشائرية أساساً لحل المنازعات بين أفراد العشيرة أو بيوت العشائر، بدلاً من قوانين الدولة ذات الطابع الوطني، كالقوانين الجزائية، والقانون المدني والتجاري وغيرها. وعملت السلطة كذلك على زيادة نفوذ الشيوخ الاقتصادي وذلك بإعطائهم أراضٍ زراعية ومكائن ومعدات مملوكة للدولة، وبيعهم أو مشاركتهم في تملك المشاريع الزراعية الإنتاجية (مؤسسات الدواجن، والإنتاج الحيـواني والمزارع الحكومية).</w:t>
      </w:r>
    </w:p>
    <w:p w:rsidR="00365CFE" w:rsidRPr="00987926" w:rsidRDefault="00365CFE" w:rsidP="00365CFE">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 xml:space="preserve"> 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مساعي السلطة الهادفة إلى انبعاث المؤسسة العشائرية على نطاق المجتمع، ارتبط</w:t>
      </w:r>
      <w:r>
        <w:rPr>
          <w:rFonts w:ascii="Simplified Arabic" w:hAnsi="Simplified Arabic" w:cs="Simplified Arabic"/>
          <w:sz w:val="28"/>
          <w:szCs w:val="28"/>
          <w:rtl/>
        </w:rPr>
        <w:t xml:space="preserve"> بعوامل عديدة منها</w:t>
      </w:r>
      <w:r w:rsidRPr="00987926">
        <w:rPr>
          <w:rFonts w:ascii="Simplified Arabic" w:hAnsi="Simplified Arabic" w:cs="Simplified Arabic"/>
          <w:sz w:val="28"/>
          <w:szCs w:val="28"/>
          <w:rtl/>
        </w:rPr>
        <w:t>:</w:t>
      </w:r>
    </w:p>
    <w:p w:rsidR="00365CFE" w:rsidRPr="00987926" w:rsidRDefault="00365CFE" w:rsidP="00365CFE">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ضعف سلطة الدولة وضياع الأمن الاقتصادي والاجتماعي، فالدولة غير قادرة على حماية المواطن من الناحية الاجتماعية،الاقتصادية، الحقوقية، القانونية والأمنية</w:t>
      </w:r>
      <w:r>
        <w:rPr>
          <w:rFonts w:ascii="Simplified Arabic" w:hAnsi="Simplified Arabic" w:cs="Simplified Arabic" w:hint="cs"/>
          <w:sz w:val="28"/>
          <w:szCs w:val="28"/>
          <w:rtl/>
        </w:rPr>
        <w:t>.</w:t>
      </w:r>
    </w:p>
    <w:p w:rsidR="00365CFE" w:rsidRPr="00987926" w:rsidRDefault="00365CFE" w:rsidP="00365CFE">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تهميش دور الروابط الطبقية والاجتماعية بسبب انخفاض دور الإنتاج المادي في الحياة الاقتصادية وما نتج عنه من تفكك البنية الاجتماعية [تهميش الطبقة الوسطى، ضعف البرجوازية، فضلاً عن تهميش طبقة الكادحين] بحيث أصبح المجتمع العراقي </w:t>
      </w:r>
      <w:r>
        <w:rPr>
          <w:rFonts w:ascii="Simplified Arabic" w:hAnsi="Simplified Arabic" w:cs="Simplified Arabic"/>
          <w:sz w:val="28"/>
          <w:szCs w:val="28"/>
          <w:rtl/>
        </w:rPr>
        <w:t>ينقسم إلى فئة غنية {تجار سماسرة</w:t>
      </w:r>
      <w:r w:rsidRPr="00987926">
        <w:rPr>
          <w:rFonts w:ascii="Simplified Arabic" w:hAnsi="Simplified Arabic" w:cs="Simplified Arabic"/>
          <w:sz w:val="28"/>
          <w:szCs w:val="28"/>
          <w:rtl/>
        </w:rPr>
        <w:t>، أصحاب عقارات} وأكثرية فقيرة معدمة.</w:t>
      </w:r>
    </w:p>
    <w:p w:rsidR="00365CFE" w:rsidRPr="00987926" w:rsidRDefault="00365CFE" w:rsidP="00365CFE">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ضعف العامل السـيـاسي في المجتمع بسبب انعدام فعالية الأحزاب السياسية، الحاكمة والـمعارضـة، إضافـة إلى فـقـدان منظمات المجتمع المدني الأخرى (النقابات، الاتحادات المهنية والاجتماعية) لدورها في تعزيز الروابط الاجتماعية.</w:t>
      </w:r>
    </w:p>
    <w:p w:rsidR="00365CFE" w:rsidRDefault="00365CFE" w:rsidP="00365CFE">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فقدان الـثـقـة بالدولة ومؤسسات المجتمع الأخرى وتـفـشـي حالة الخوف والاضطراب في عموم المجتمع، الأمر الذي دفع المواطن إلى الاحتماء بأشكال سلفية من التنظيم الاجتماعي.</w:t>
      </w:r>
    </w:p>
    <w:p w:rsidR="00365CFE" w:rsidRPr="00987926" w:rsidRDefault="00365CFE" w:rsidP="00365CFE">
      <w:pPr>
        <w:pStyle w:val="a3"/>
        <w:jc w:val="both"/>
        <w:rPr>
          <w:rFonts w:ascii="Simplified Arabic" w:hAnsi="Simplified Arabic" w:cs="Simplified Arabic"/>
          <w:sz w:val="28"/>
          <w:szCs w:val="28"/>
          <w:rtl/>
        </w:rPr>
      </w:pPr>
    </w:p>
    <w:p w:rsidR="00365CFE" w:rsidRPr="00987926" w:rsidRDefault="00365CFE" w:rsidP="00365CFE">
      <w:pPr>
        <w:pStyle w:val="a3"/>
        <w:jc w:val="both"/>
        <w:rPr>
          <w:rFonts w:ascii="Simplified Arabic" w:hAnsi="Simplified Arabic" w:cs="Simplified Arabic"/>
          <w:sz w:val="28"/>
          <w:szCs w:val="28"/>
        </w:rPr>
      </w:pPr>
    </w:p>
    <w:p w:rsidR="00C40428" w:rsidRPr="00365CFE" w:rsidRDefault="00C40428"/>
    <w:sectPr w:rsidR="00C40428" w:rsidRPr="00365CFE" w:rsidSect="00782BAA">
      <w:footerReference w:type="default" r:id="rId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41341"/>
      <w:docPartObj>
        <w:docPartGallery w:val="Page Numbers (Bottom of Page)"/>
        <w:docPartUnique/>
      </w:docPartObj>
    </w:sdtPr>
    <w:sdtEndPr/>
    <w:sdtContent>
      <w:p w:rsidR="009C6F65" w:rsidRDefault="00CF321F">
        <w:pPr>
          <w:pStyle w:val="a4"/>
        </w:pPr>
        <w:r>
          <w:rPr>
            <w:noProof/>
          </w:rPr>
          <w:pict>
            <v:group id="_x0000_s1025" style="position:absolute;left:0;text-align:left;margin-left:0;margin-top:0;width:1in;height:1in;flip:x;z-index:251658240;mso-position-horizontal:left;mso-position-horizontal-relative:left-margin-area;mso-position-vertical:bottom;mso-position-vertical-relative:bottom-margin-area" coordorigin="10800,14400" coordsize="1440,1440" o:allowincell="f">
              <v:rect id="_x0000_s1026" style="position:absolute;left:10800;top:14400;width:1440;height:1440;mso-position-horizontal:right;mso-position-horizontal-relative:right-margin-area;mso-position-vertical:bottom;mso-position-vertical-relative:bottom-margin-area" o:allowincell="f" stroked="f">
                <v:textbox>
                  <w:txbxContent>
                    <w:p w:rsidR="009C6F65" w:rsidRDefault="00CF321F"/>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7" type="#_x0000_t15" style="position:absolute;left:10813;top:14744;width:1121;height:495;rotation:-585;flip:x;mso-position-horizontal-relative:page;mso-position-vertical-relative:page;mso-height-relative:bottom-margin-area;v-text-anchor:middle" filled="f" fillcolor="#4f81bd [3204]" strokecolor="#4f81bd [3204]">
                <v:textbox style="mso-next-textbox:#_x0000_s1027" inset=",0,,0">
                  <w:txbxContent>
                    <w:p w:rsidR="009C6F65" w:rsidRDefault="00CF321F">
                      <w:pPr>
                        <w:pStyle w:val="a4"/>
                        <w:jc w:val="center"/>
                      </w:pPr>
                      <w:r>
                        <w:fldChar w:fldCharType="begin"/>
                      </w:r>
                      <w:r>
                        <w:instrText xml:space="preserve"> PAGE   \* MERGEFORMAT </w:instrText>
                      </w:r>
                      <w:r>
                        <w:fldChar w:fldCharType="separate"/>
                      </w:r>
                      <w:r w:rsidR="00365CFE" w:rsidRPr="00365CFE">
                        <w:rPr>
                          <w:rFonts w:cs="Calibri"/>
                          <w:noProof/>
                          <w:rtl/>
                          <w:lang w:val="ar-SA"/>
                        </w:rPr>
                        <w:t>3</w:t>
                      </w:r>
                      <w:r>
                        <w:fldChar w:fldCharType="end"/>
                      </w:r>
                    </w:p>
                  </w:txbxContent>
                </v:textbox>
              </v:shape>
              <w10:wrap anchorx="margin" anchory="page"/>
            </v:group>
          </w:pict>
        </w:r>
      </w:p>
    </w:sdtContent>
  </w:sdt>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1"/>
    </o:shapelayout>
  </w:hdrShapeDefaults>
  <w:compat/>
  <w:rsids>
    <w:rsidRoot w:val="00365CFE"/>
    <w:rsid w:val="00365CFE"/>
    <w:rsid w:val="00782BAA"/>
    <w:rsid w:val="00C40428"/>
    <w:rsid w:val="00CF32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CF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5CFE"/>
    <w:pPr>
      <w:bidi/>
      <w:spacing w:after="0" w:line="240" w:lineRule="auto"/>
    </w:pPr>
  </w:style>
  <w:style w:type="paragraph" w:styleId="a4">
    <w:name w:val="footer"/>
    <w:basedOn w:val="a"/>
    <w:link w:val="Char"/>
    <w:uiPriority w:val="99"/>
    <w:unhideWhenUsed/>
    <w:rsid w:val="00365CFE"/>
    <w:pPr>
      <w:tabs>
        <w:tab w:val="center" w:pos="4153"/>
        <w:tab w:val="right" w:pos="8306"/>
      </w:tabs>
      <w:spacing w:after="0" w:line="240" w:lineRule="auto"/>
    </w:pPr>
  </w:style>
  <w:style w:type="character" w:customStyle="1" w:styleId="Char">
    <w:name w:val="تذييل صفحة Char"/>
    <w:basedOn w:val="a0"/>
    <w:link w:val="a4"/>
    <w:uiPriority w:val="99"/>
    <w:rsid w:val="00365C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5250</Characters>
  <Application>Microsoft Office Word</Application>
  <DocSecurity>0</DocSecurity>
  <Lines>43</Lines>
  <Paragraphs>12</Paragraphs>
  <ScaleCrop>false</ScaleCrop>
  <Company>Hewlett-Packard</Company>
  <LinksUpToDate>false</LinksUpToDate>
  <CharactersWithSpaces>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2019-02-07T18:20:00Z</dcterms:created>
  <dcterms:modified xsi:type="dcterms:W3CDTF">2019-02-07T18:20:00Z</dcterms:modified>
</cp:coreProperties>
</file>