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3A" w:rsidRDefault="00FF613A" w:rsidP="00FF613A">
      <w:pPr>
        <w:pStyle w:val="BodyText"/>
        <w:jc w:val="center"/>
        <w:rPr>
          <w:b/>
          <w:bCs/>
          <w:sz w:val="30"/>
          <w:szCs w:val="34"/>
          <w:u w:val="single"/>
          <w:rtl/>
        </w:rPr>
      </w:pPr>
      <w:r>
        <w:rPr>
          <w:b/>
          <w:bCs/>
          <w:sz w:val="30"/>
          <w:szCs w:val="34"/>
          <w:u w:val="single"/>
          <w:rtl/>
        </w:rPr>
        <w:t>: حروف القافية</w:t>
      </w:r>
      <w:r>
        <w:rPr>
          <w:b/>
          <w:bCs/>
          <w:sz w:val="30"/>
          <w:szCs w:val="34"/>
          <w:u w:val="single"/>
          <w:vertAlign w:val="superscript"/>
          <w:rtl/>
        </w:rPr>
        <w:t>(1)</w:t>
      </w:r>
    </w:p>
    <w:p w:rsidR="00FF613A" w:rsidRDefault="00FF613A" w:rsidP="00FF613A">
      <w:pPr>
        <w:pStyle w:val="BodyText"/>
        <w:rPr>
          <w:rtl/>
        </w:rPr>
      </w:pPr>
    </w:p>
    <w:p w:rsidR="00FF613A" w:rsidRDefault="00FF613A" w:rsidP="00FF613A">
      <w:pPr>
        <w:pStyle w:val="BodyText"/>
        <w:jc w:val="lowKashida"/>
        <w:rPr>
          <w:rtl/>
        </w:rPr>
      </w:pPr>
      <w:r>
        <w:rPr>
          <w:rtl/>
        </w:rPr>
        <w:t>وهي ستة حروف لا تخلو القافية منها ، ولا يشترط أنْ تكون مجتمعة في قافية واحدة ، وهي كالآتي :</w:t>
      </w:r>
    </w:p>
    <w:p w:rsidR="00FF613A" w:rsidRDefault="00FF613A" w:rsidP="00FF613A">
      <w:pPr>
        <w:pStyle w:val="BodyText"/>
        <w:jc w:val="lowKashida"/>
        <w:rPr>
          <w:rFonts w:hint="cs"/>
          <w:rtl/>
        </w:rPr>
      </w:pPr>
      <w:r>
        <w:rPr>
          <w:rtl/>
        </w:rPr>
        <w:t xml:space="preserve">1ـ </w:t>
      </w:r>
      <w:r>
        <w:rPr>
          <w:b/>
          <w:bCs/>
          <w:rtl/>
        </w:rPr>
        <w:t xml:space="preserve">الرويّ </w:t>
      </w:r>
      <w:r>
        <w:rPr>
          <w:rtl/>
        </w:rPr>
        <w:t xml:space="preserve">: هو حرفٌ ساكن أو متحرك ينتهي به البيت الشعري وتبنى عليه القصيدة وتنسب إليه فيقال : قصيدة لاميّة أو سينيّة أو ميميّة </w:t>
      </w:r>
      <w:r>
        <w:t>…</w:t>
      </w:r>
      <w:r>
        <w:rPr>
          <w:rtl/>
        </w:rPr>
        <w:t xml:space="preserve"> الخ ويختلف هذا الحرف من قصيدةٍ لأخرى ولكنهُ ثابتٌ في أبيات القصيدة الواحدة وكذلك حركتهُ ، </w:t>
      </w:r>
    </w:p>
    <w:p w:rsidR="00FF613A" w:rsidRDefault="00FF613A" w:rsidP="00FF613A">
      <w:pPr>
        <w:pStyle w:val="BodyText"/>
        <w:jc w:val="lowKashida"/>
        <w:rPr>
          <w:rtl/>
        </w:rPr>
      </w:pPr>
      <w:r>
        <w:rPr>
          <w:rtl/>
        </w:rPr>
        <w:t>فهو ( الميم المتحركة ) في قول المتنبي :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>واحرّ قلباه  ممن  قلبُـه  شَبـمُ       ومن بجسمي و</w:t>
      </w:r>
      <w:r>
        <w:rPr>
          <w:rFonts w:hint="cs"/>
          <w:rtl/>
        </w:rPr>
        <w:t>حالي</w:t>
      </w:r>
      <w:r>
        <w:rPr>
          <w:rtl/>
        </w:rPr>
        <w:t xml:space="preserve"> عندهُ سَقَمُ</w:t>
      </w:r>
    </w:p>
    <w:p w:rsidR="00FF613A" w:rsidRDefault="00FF613A" w:rsidP="00FF613A">
      <w:pPr>
        <w:pStyle w:val="BodyText"/>
        <w:rPr>
          <w:rFonts w:hint="cs"/>
          <w:rtl/>
        </w:rPr>
      </w:pPr>
    </w:p>
    <w:p w:rsidR="00FF613A" w:rsidRDefault="00FF613A" w:rsidP="00FF613A">
      <w:pPr>
        <w:pStyle w:val="BodyText"/>
        <w:rPr>
          <w:rtl/>
        </w:rPr>
      </w:pPr>
      <w:r>
        <w:rPr>
          <w:rtl/>
        </w:rPr>
        <w:t>وهو ( الراء الساكنة ) في قول جرير :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>فالجارُ قد يعلمُ أخبارَ الجارْ    وأَحْكُمْ  على  تبيُّنٍ  واستبصارْ</w:t>
      </w:r>
    </w:p>
    <w:p w:rsidR="00FF613A" w:rsidRDefault="00FF613A" w:rsidP="00FF613A">
      <w:pPr>
        <w:pStyle w:val="BodyText"/>
        <w:jc w:val="center"/>
        <w:rPr>
          <w:rtl/>
        </w:rPr>
      </w:pPr>
    </w:p>
    <w:p w:rsidR="00FF613A" w:rsidRDefault="00FF613A" w:rsidP="00FF613A">
      <w:pPr>
        <w:pStyle w:val="BodyText"/>
        <w:rPr>
          <w:u w:val="single"/>
          <w:rtl/>
        </w:rPr>
      </w:pPr>
      <w:r>
        <w:rPr>
          <w:u w:val="single"/>
          <w:rtl/>
        </w:rPr>
        <w:t>ملاحظة :</w:t>
      </w:r>
    </w:p>
    <w:p w:rsidR="00FF613A" w:rsidRDefault="00FF613A" w:rsidP="00FF613A">
      <w:pPr>
        <w:pStyle w:val="BodyText"/>
        <w:jc w:val="lowKashida"/>
        <w:rPr>
          <w:rtl/>
        </w:rPr>
      </w:pPr>
      <w:r>
        <w:rPr>
          <w:rtl/>
        </w:rPr>
        <w:t xml:space="preserve"> مما يصح أن يكون روياً الألف الأصلية في الكلمة ، والياء الأصلية الساكنة المكسور ما قبلها والواو الساكنة المضموم ماقبلهاوتاء التأنيث الساكنة وكاف الخطاب ، والهاء الأصلية المتحرك ما قبلها والساكن والميم إذا سبقها الهاء أوالكاف ، ومما لا يصح أن يكون روياً التنوين بأنواعهِ ونون التوكيد الخفيفة و ( الألف ، الياء ، الواو ، الهاء ) في غير ما ذكر ، أمّا بقية حروف الهجاء فيصح أن تكون جميعها روياً وتبنى عليها القصيدة .</w:t>
      </w:r>
    </w:p>
    <w:p w:rsidR="00FF613A" w:rsidRDefault="00FF613A" w:rsidP="00FF613A">
      <w:pPr>
        <w:pStyle w:val="BodyText"/>
        <w:rPr>
          <w:rFonts w:hint="cs"/>
          <w:sz w:val="18"/>
          <w:szCs w:val="22"/>
          <w:rtl/>
        </w:rPr>
      </w:pPr>
    </w:p>
    <w:p w:rsidR="00FF613A" w:rsidRDefault="00FF613A" w:rsidP="00FF613A">
      <w:pPr>
        <w:pStyle w:val="BodyText"/>
        <w:rPr>
          <w:rFonts w:hint="cs"/>
          <w:sz w:val="18"/>
          <w:szCs w:val="22"/>
          <w:rtl/>
        </w:rPr>
      </w:pPr>
    </w:p>
    <w:p w:rsidR="00FF613A" w:rsidRDefault="00FF613A" w:rsidP="00FF613A">
      <w:pPr>
        <w:pStyle w:val="BodyText"/>
        <w:rPr>
          <w:rFonts w:hint="cs"/>
          <w:sz w:val="18"/>
          <w:szCs w:val="22"/>
          <w:rtl/>
        </w:rPr>
      </w:pPr>
    </w:p>
    <w:p w:rsidR="00FF613A" w:rsidRDefault="00FF613A" w:rsidP="00FF613A">
      <w:pPr>
        <w:pStyle w:val="BodyText"/>
        <w:rPr>
          <w:rFonts w:hint="cs"/>
          <w:sz w:val="18"/>
          <w:szCs w:val="22"/>
          <w:rtl/>
        </w:rPr>
      </w:pPr>
    </w:p>
    <w:p w:rsidR="00FF613A" w:rsidRDefault="00FF613A" w:rsidP="00FF613A">
      <w:pPr>
        <w:pStyle w:val="BodyText"/>
        <w:rPr>
          <w:rFonts w:hint="cs"/>
          <w:sz w:val="18"/>
          <w:szCs w:val="22"/>
          <w:rtl/>
        </w:rPr>
      </w:pPr>
    </w:p>
    <w:p w:rsidR="00FF613A" w:rsidRDefault="00FF613A" w:rsidP="00FF613A">
      <w:pPr>
        <w:pStyle w:val="BodyText"/>
        <w:rPr>
          <w:rFonts w:hint="cs"/>
          <w:sz w:val="18"/>
          <w:szCs w:val="22"/>
          <w:rtl/>
        </w:rPr>
      </w:pPr>
    </w:p>
    <w:p w:rsidR="00FF613A" w:rsidRDefault="00FF613A" w:rsidP="00FF613A">
      <w:pPr>
        <w:pStyle w:val="BodyText"/>
        <w:rPr>
          <w:rFonts w:hint="cs"/>
          <w:sz w:val="18"/>
          <w:szCs w:val="22"/>
          <w:rtl/>
        </w:rPr>
      </w:pPr>
    </w:p>
    <w:p w:rsidR="00FF613A" w:rsidRDefault="00FF613A" w:rsidP="00FF613A">
      <w:pPr>
        <w:pStyle w:val="BodyText"/>
        <w:rPr>
          <w:rFonts w:hint="cs"/>
          <w:sz w:val="18"/>
          <w:szCs w:val="22"/>
          <w:rtl/>
        </w:rPr>
      </w:pPr>
    </w:p>
    <w:p w:rsidR="00FF613A" w:rsidRDefault="00FF613A" w:rsidP="00FF613A">
      <w:pPr>
        <w:pStyle w:val="BodyText"/>
        <w:rPr>
          <w:rFonts w:hint="cs"/>
          <w:sz w:val="18"/>
          <w:szCs w:val="22"/>
          <w:rtl/>
        </w:rPr>
      </w:pPr>
    </w:p>
    <w:p w:rsidR="00FF613A" w:rsidRDefault="00FF613A" w:rsidP="00FF613A">
      <w:pPr>
        <w:pStyle w:val="BodyText"/>
        <w:rPr>
          <w:rFonts w:hint="cs"/>
          <w:sz w:val="18"/>
          <w:szCs w:val="22"/>
          <w:rtl/>
        </w:rPr>
      </w:pPr>
    </w:p>
    <w:p w:rsidR="00FF613A" w:rsidRDefault="00FF613A" w:rsidP="00FF613A">
      <w:pPr>
        <w:pStyle w:val="BodyText"/>
        <w:rPr>
          <w:sz w:val="18"/>
          <w:szCs w:val="22"/>
          <w:rtl/>
        </w:rPr>
      </w:pPr>
      <w:r>
        <w:rPr>
          <w:sz w:val="18"/>
          <w:szCs w:val="22"/>
          <w:rtl/>
        </w:rPr>
        <w:t>ــــــــــــ</w:t>
      </w:r>
    </w:p>
    <w:p w:rsidR="00FF613A" w:rsidRDefault="00FF613A" w:rsidP="00FF613A">
      <w:pPr>
        <w:pStyle w:val="BodyText"/>
        <w:rPr>
          <w:rtl/>
        </w:rPr>
      </w:pPr>
      <w:r>
        <w:rPr>
          <w:sz w:val="18"/>
          <w:szCs w:val="22"/>
          <w:rtl/>
        </w:rPr>
        <w:t>(1) ينظر : العمدة ـ لابن رشيق ص265</w:t>
      </w:r>
    </w:p>
    <w:p w:rsidR="00FF613A" w:rsidRDefault="00FF613A" w:rsidP="00FF613A">
      <w:pPr>
        <w:pStyle w:val="BodyText"/>
        <w:jc w:val="lowKashida"/>
        <w:rPr>
          <w:rtl/>
        </w:rPr>
      </w:pPr>
      <w:r>
        <w:rPr>
          <w:rtl/>
        </w:rPr>
        <w:lastRenderedPageBreak/>
        <w:t xml:space="preserve">2 ـ </w:t>
      </w:r>
      <w:r>
        <w:rPr>
          <w:b/>
          <w:bCs/>
          <w:rtl/>
        </w:rPr>
        <w:t>الوصل</w:t>
      </w:r>
      <w:r>
        <w:rPr>
          <w:rtl/>
        </w:rPr>
        <w:t xml:space="preserve"> : وهو حرفُ مدٍّ ( ألف ، واو ، ياء ) ينشأ عن إشباع حركة الرويّ المطلق أو هَاء وصلٍ تلي الرويّ ، كالياء المتولدة من اشباع حركة الرويّ( الراء ) في قول جرير :</w:t>
      </w:r>
    </w:p>
    <w:p w:rsidR="00FF613A" w:rsidRDefault="00FF613A" w:rsidP="00FF613A">
      <w:pPr>
        <w:pStyle w:val="BodyText"/>
        <w:ind w:left="2880" w:hanging="2880"/>
        <w:jc w:val="center"/>
        <w:rPr>
          <w:rtl/>
        </w:rPr>
      </w:pPr>
      <w:r>
        <w:rPr>
          <w:rtl/>
        </w:rPr>
        <w:t>وقدْ كانَ المنازلُ مؤنسـاتٍ      فـهِنَّ اليومَ كالبلدِ القِفـارِ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>وقد لامَ العواذلُ في سليمى     وقَلّ إلى عواذِلي اعتذارِي</w:t>
      </w:r>
    </w:p>
    <w:p w:rsidR="00FF613A" w:rsidRDefault="00FF613A" w:rsidP="00FF613A">
      <w:pPr>
        <w:pStyle w:val="BodyText"/>
        <w:jc w:val="lowKashida"/>
        <w:rPr>
          <w:rtl/>
        </w:rPr>
      </w:pPr>
      <w:r>
        <w:rPr>
          <w:rtl/>
        </w:rPr>
        <w:t>ومثال الهاء التي تلي الرويّ قول ابن الرومي :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>سليمُ الزمـانَ كمنكوبِهِ       وموفورُهُ مثلُ محروبِهِ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>وممنوحـهُ مثلُ ممنوعهِ       ومكسُّوهُ  مثل مسلوبِـهِ</w:t>
      </w:r>
    </w:p>
    <w:p w:rsidR="00FF613A" w:rsidRDefault="00FF613A" w:rsidP="00FF613A">
      <w:pPr>
        <w:pStyle w:val="BodyText"/>
        <w:jc w:val="lowKashida"/>
        <w:rPr>
          <w:rtl/>
        </w:rPr>
      </w:pPr>
      <w:r>
        <w:rPr>
          <w:rtl/>
        </w:rPr>
        <w:t>وقد يأتي الوصل ألفاً أو واواً أو ياءً أصليّة ، كالألف في كلمة ( سبى ) ، في قول ابن الرومي مادحاً :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>متوشِّـحٌ بمعـاذتيـن يخيفُهُ     ما لا يُخاف، وقد سبى مَن قد سبى</w:t>
      </w:r>
    </w:p>
    <w:p w:rsidR="00FF613A" w:rsidRDefault="00FF613A" w:rsidP="00FF613A">
      <w:pPr>
        <w:pStyle w:val="BodyText"/>
        <w:jc w:val="lowKashida"/>
        <w:rPr>
          <w:rFonts w:hint="cs"/>
          <w:rtl/>
        </w:rPr>
      </w:pPr>
    </w:p>
    <w:p w:rsidR="00FF613A" w:rsidRDefault="00FF613A" w:rsidP="00FF613A">
      <w:pPr>
        <w:pStyle w:val="BodyText"/>
        <w:jc w:val="lowKashida"/>
        <w:rPr>
          <w:rtl/>
        </w:rPr>
      </w:pPr>
      <w:r>
        <w:rPr>
          <w:rtl/>
        </w:rPr>
        <w:t xml:space="preserve">3 ـ </w:t>
      </w:r>
      <w:r>
        <w:rPr>
          <w:b/>
          <w:bCs/>
          <w:rtl/>
        </w:rPr>
        <w:t>الخروج</w:t>
      </w:r>
      <w:r>
        <w:rPr>
          <w:rtl/>
        </w:rPr>
        <w:t>: وهو حرف المدّ الناشيء من اشباع حركة هاء الوصل المتحركة ، كالألف المتولدة من اشباع الهاء في قول ابن الرومي :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 xml:space="preserve">   صَبْراً على أشـياءَ كُلِّفْتُهـا     أُعقبتُـها الآن وسُـلِّفْتُهـا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 xml:space="preserve">  وَيْحَ القوافي : ما لها سَفْسَفَتْ      حَظِّي كأنّي كنتُ سَفسَفتُها </w:t>
      </w:r>
    </w:p>
    <w:p w:rsidR="00FF613A" w:rsidRDefault="00FF613A" w:rsidP="00FF613A">
      <w:pPr>
        <w:pStyle w:val="BodyText"/>
        <w:jc w:val="lowKashida"/>
        <w:rPr>
          <w:rFonts w:hint="cs"/>
          <w:rtl/>
        </w:rPr>
      </w:pPr>
    </w:p>
    <w:p w:rsidR="00FF613A" w:rsidRDefault="00FF613A" w:rsidP="00FF613A">
      <w:pPr>
        <w:pStyle w:val="BodyText"/>
        <w:jc w:val="lowKashida"/>
        <w:rPr>
          <w:rtl/>
        </w:rPr>
      </w:pPr>
      <w:r>
        <w:rPr>
          <w:rtl/>
        </w:rPr>
        <w:t>أو كالواو المتولدة من اشباع الهاء في قول ابن زريق البغدادي :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>لا تعذليهِ فإنّ العـذلَ يولعـهُ        قدْ قُلت حقّاً ولكن ليسَ يَسْمعهُ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>جاوزت في لومهِ حدّاً أضرَّ بهِ       من حيث قدّرت أنَّ اللومَ ينفعهُ</w:t>
      </w:r>
    </w:p>
    <w:p w:rsidR="00FF613A" w:rsidRDefault="00FF613A" w:rsidP="00FF613A">
      <w:pPr>
        <w:pStyle w:val="BodyText"/>
        <w:rPr>
          <w:rFonts w:hint="cs"/>
          <w:szCs w:val="20"/>
          <w:rtl/>
        </w:rPr>
      </w:pPr>
    </w:p>
    <w:p w:rsidR="00FF613A" w:rsidRDefault="00FF613A" w:rsidP="00FF613A">
      <w:pPr>
        <w:pStyle w:val="BodyText"/>
        <w:rPr>
          <w:rFonts w:hint="cs"/>
          <w:szCs w:val="20"/>
          <w:rtl/>
        </w:rPr>
      </w:pPr>
    </w:p>
    <w:p w:rsidR="00FF613A" w:rsidRDefault="00FF613A" w:rsidP="00FF613A">
      <w:pPr>
        <w:pStyle w:val="BodyText"/>
        <w:rPr>
          <w:rFonts w:hint="cs"/>
          <w:szCs w:val="20"/>
          <w:rtl/>
        </w:rPr>
      </w:pPr>
    </w:p>
    <w:p w:rsidR="00FF613A" w:rsidRDefault="00FF613A" w:rsidP="00FF613A">
      <w:pPr>
        <w:pStyle w:val="BodyText"/>
        <w:rPr>
          <w:rFonts w:hint="cs"/>
          <w:szCs w:val="20"/>
          <w:rtl/>
        </w:rPr>
      </w:pPr>
    </w:p>
    <w:p w:rsidR="00FF613A" w:rsidRDefault="00FF613A" w:rsidP="00FF613A">
      <w:pPr>
        <w:pStyle w:val="BodyText"/>
        <w:rPr>
          <w:rFonts w:hint="cs"/>
          <w:szCs w:val="20"/>
          <w:rtl/>
        </w:rPr>
      </w:pPr>
    </w:p>
    <w:p w:rsidR="00FF613A" w:rsidRDefault="00FF613A" w:rsidP="00FF613A">
      <w:pPr>
        <w:pStyle w:val="BodyText"/>
        <w:rPr>
          <w:rFonts w:hint="cs"/>
          <w:szCs w:val="20"/>
          <w:rtl/>
        </w:rPr>
      </w:pPr>
    </w:p>
    <w:p w:rsidR="00FF613A" w:rsidRDefault="00FF613A" w:rsidP="00FF613A">
      <w:pPr>
        <w:pStyle w:val="BodyText"/>
        <w:rPr>
          <w:rFonts w:hint="cs"/>
          <w:szCs w:val="20"/>
          <w:rtl/>
        </w:rPr>
      </w:pPr>
    </w:p>
    <w:p w:rsidR="00FF613A" w:rsidRDefault="00FF613A" w:rsidP="00FF613A">
      <w:pPr>
        <w:pStyle w:val="BodyText"/>
        <w:rPr>
          <w:rFonts w:hint="cs"/>
          <w:szCs w:val="20"/>
          <w:rtl/>
        </w:rPr>
      </w:pPr>
    </w:p>
    <w:p w:rsidR="00FF613A" w:rsidRDefault="00FF613A" w:rsidP="00FF613A">
      <w:pPr>
        <w:pStyle w:val="BodyText"/>
        <w:rPr>
          <w:rFonts w:hint="cs"/>
          <w:szCs w:val="20"/>
          <w:rtl/>
        </w:rPr>
      </w:pPr>
    </w:p>
    <w:p w:rsidR="00FF613A" w:rsidRDefault="00FF613A" w:rsidP="00FF613A">
      <w:pPr>
        <w:pStyle w:val="BodyText"/>
        <w:rPr>
          <w:rFonts w:hint="cs"/>
          <w:szCs w:val="20"/>
          <w:rtl/>
        </w:rPr>
      </w:pPr>
    </w:p>
    <w:p w:rsidR="00FF613A" w:rsidRDefault="00FF613A" w:rsidP="00FF613A">
      <w:pPr>
        <w:pStyle w:val="BodyText"/>
        <w:rPr>
          <w:szCs w:val="20"/>
          <w:rtl/>
        </w:rPr>
      </w:pPr>
      <w:r>
        <w:rPr>
          <w:szCs w:val="20"/>
          <w:rtl/>
        </w:rPr>
        <w:t xml:space="preserve">ـــــــــــــــــــــ  </w:t>
      </w:r>
    </w:p>
    <w:p w:rsidR="00FF613A" w:rsidRDefault="00FF613A" w:rsidP="00FF613A">
      <w:pPr>
        <w:pStyle w:val="BodyText"/>
        <w:rPr>
          <w:szCs w:val="20"/>
          <w:rtl/>
        </w:rPr>
      </w:pPr>
      <w:r>
        <w:rPr>
          <w:szCs w:val="20"/>
          <w:rtl/>
        </w:rPr>
        <w:t xml:space="preserve">(1) جاء حرف الردف الواو والياء عند بعض الشعراء مسبوقا بالفتحة كقول بشار بن برد:        </w:t>
      </w:r>
    </w:p>
    <w:p w:rsidR="00FF613A" w:rsidRDefault="00FF613A" w:rsidP="00FF613A">
      <w:pPr>
        <w:pStyle w:val="BodyText"/>
        <w:jc w:val="center"/>
        <w:rPr>
          <w:szCs w:val="20"/>
          <w:rtl/>
        </w:rPr>
      </w:pPr>
      <w:r>
        <w:rPr>
          <w:szCs w:val="20"/>
          <w:rtl/>
        </w:rPr>
        <w:t>ربابة ربة البيت    تصب الخلّ في الزيت</w:t>
      </w:r>
    </w:p>
    <w:p w:rsidR="00FF613A" w:rsidRDefault="00FF613A" w:rsidP="00FF613A">
      <w:pPr>
        <w:pStyle w:val="BodyText"/>
        <w:jc w:val="center"/>
        <w:rPr>
          <w:szCs w:val="20"/>
          <w:rtl/>
        </w:rPr>
      </w:pPr>
      <w:r>
        <w:rPr>
          <w:szCs w:val="20"/>
          <w:rtl/>
        </w:rPr>
        <w:t>لها عشر دجاجات    وديك حسن الصوت</w:t>
      </w:r>
    </w:p>
    <w:p w:rsidR="00FF613A" w:rsidRDefault="00FF613A" w:rsidP="00FF613A">
      <w:pPr>
        <w:pStyle w:val="BodyText"/>
        <w:numPr>
          <w:ilvl w:val="0"/>
          <w:numId w:val="1"/>
        </w:numPr>
        <w:ind w:left="0" w:firstLine="0"/>
        <w:rPr>
          <w:rtl/>
        </w:rPr>
      </w:pPr>
      <w:r>
        <w:rPr>
          <w:rtl/>
        </w:rPr>
        <w:lastRenderedPageBreak/>
        <w:t xml:space="preserve">ـ </w:t>
      </w:r>
      <w:r>
        <w:rPr>
          <w:b/>
          <w:bCs/>
          <w:rtl/>
        </w:rPr>
        <w:t>الرِّدف</w:t>
      </w:r>
      <w:r>
        <w:rPr>
          <w:rtl/>
        </w:rPr>
        <w:t xml:space="preserve"> : وهو حرف العلّة الواقع قبل الرويّ مباشرةً وقد يكون ألفاً مفتوح ما قبلها أو واواً مضموم ما قبلها أو ياءً مجرور</w:t>
      </w:r>
      <w:r>
        <w:rPr>
          <w:rFonts w:hint="cs"/>
          <w:rtl/>
        </w:rPr>
        <w:t xml:space="preserve"> </w:t>
      </w:r>
      <w:r>
        <w:rPr>
          <w:rtl/>
        </w:rPr>
        <w:t>ما قبلها</w:t>
      </w:r>
      <w:r>
        <w:rPr>
          <w:vertAlign w:val="superscript"/>
          <w:rtl/>
        </w:rPr>
        <w:t>(1)</w:t>
      </w:r>
      <w:r>
        <w:rPr>
          <w:rtl/>
        </w:rPr>
        <w:t>،كقول ابن المعتز :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>رددتُ إلى التّقى نفسي فَقرّتْ      كما رُدَّ الحُسامُ إلى القِراب</w:t>
      </w:r>
    </w:p>
    <w:p w:rsidR="00FF613A" w:rsidRDefault="00FF613A" w:rsidP="00FF613A">
      <w:pPr>
        <w:pStyle w:val="BodyText"/>
        <w:rPr>
          <w:rtl/>
        </w:rPr>
      </w:pPr>
      <w:r>
        <w:rPr>
          <w:rtl/>
        </w:rPr>
        <w:t>وقال أبوفراس الحمداني :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>ما العمرُ ما طالتْ به الدّهورُ      العمرُ ما تمَّ بهِ السُّرُورُ</w:t>
      </w:r>
    </w:p>
    <w:p w:rsidR="00FF613A" w:rsidRDefault="00FF613A" w:rsidP="00FF613A">
      <w:pPr>
        <w:pStyle w:val="BodyText"/>
        <w:rPr>
          <w:rtl/>
        </w:rPr>
      </w:pPr>
      <w:r>
        <w:rPr>
          <w:rtl/>
        </w:rPr>
        <w:t>وقال المتنبي :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>وكمْ مِنْ عائبٍ قولاً صحيحاً       وآفته من الفَهْم السقِيْمِ</w:t>
      </w:r>
    </w:p>
    <w:p w:rsidR="00FF613A" w:rsidRDefault="00FF613A" w:rsidP="00FF613A">
      <w:pPr>
        <w:pStyle w:val="BodyText"/>
        <w:rPr>
          <w:rtl/>
        </w:rPr>
      </w:pPr>
      <w:r>
        <w:rPr>
          <w:rtl/>
        </w:rPr>
        <w:t>وقد يجتمع الواو والياء في قصيدة واحدة فتكون بعض الأبيات مردوفة بالواو وأخرى مردوفة بالياء ، كقول المتنبي :</w:t>
      </w: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 xml:space="preserve"> إذا غامرتَ في شرفٍ مروم     فلا تقنع بما دون النجومِ</w:t>
      </w:r>
    </w:p>
    <w:p w:rsidR="00FF613A" w:rsidRDefault="00FF613A" w:rsidP="00FF613A">
      <w:pPr>
        <w:pStyle w:val="BodyText"/>
        <w:jc w:val="center"/>
        <w:rPr>
          <w:rFonts w:hint="cs"/>
          <w:rtl/>
        </w:rPr>
      </w:pPr>
      <w:r>
        <w:rPr>
          <w:rtl/>
        </w:rPr>
        <w:t>فطعمُ الموت في أمرٍ صغير   كطعم الموت في أمر</w:t>
      </w:r>
      <w:r>
        <w:rPr>
          <w:rFonts w:hint="cs"/>
          <w:rtl/>
        </w:rPr>
        <w:t>ٍ</w:t>
      </w:r>
      <w:r>
        <w:rPr>
          <w:rtl/>
        </w:rPr>
        <w:t xml:space="preserve"> عظيم</w:t>
      </w:r>
    </w:p>
    <w:p w:rsidR="00FF613A" w:rsidRDefault="00FF613A" w:rsidP="00FF613A">
      <w:pPr>
        <w:pStyle w:val="BodyText"/>
        <w:jc w:val="center"/>
        <w:rPr>
          <w:rFonts w:hint="cs"/>
          <w:rtl/>
        </w:rPr>
      </w:pPr>
    </w:p>
    <w:p w:rsidR="00FF613A" w:rsidRDefault="00FF613A" w:rsidP="00FF613A">
      <w:pPr>
        <w:pStyle w:val="BodyText"/>
        <w:jc w:val="center"/>
        <w:rPr>
          <w:rFonts w:hint="cs"/>
          <w:rtl/>
        </w:rPr>
      </w:pPr>
    </w:p>
    <w:p w:rsidR="00FF613A" w:rsidRDefault="00FF613A" w:rsidP="00FF613A">
      <w:pPr>
        <w:pStyle w:val="BodyText"/>
        <w:numPr>
          <w:ilvl w:val="0"/>
          <w:numId w:val="1"/>
        </w:numPr>
        <w:ind w:left="0" w:firstLine="0"/>
        <w:rPr>
          <w:rtl/>
        </w:rPr>
      </w:pPr>
      <w:r>
        <w:rPr>
          <w:rtl/>
        </w:rPr>
        <w:t xml:space="preserve">ـ </w:t>
      </w:r>
      <w:r>
        <w:rPr>
          <w:b/>
          <w:bCs/>
          <w:rtl/>
        </w:rPr>
        <w:t>التأسيس</w:t>
      </w:r>
      <w:r>
        <w:rPr>
          <w:rtl/>
        </w:rPr>
        <w:t xml:space="preserve"> : وهي الألف المفتوح ما قبلها والتي لا يفصلها عن الرويّ إلاّ حرفٌ واحد متحرك ، كقول المتنبي :</w:t>
      </w:r>
    </w:p>
    <w:p w:rsidR="00FF613A" w:rsidRDefault="00FF613A" w:rsidP="00FF613A">
      <w:pPr>
        <w:pStyle w:val="BodyText"/>
        <w:jc w:val="center"/>
        <w:rPr>
          <w:rFonts w:hint="cs"/>
          <w:rtl/>
        </w:rPr>
      </w:pPr>
    </w:p>
    <w:p w:rsidR="00FF613A" w:rsidRDefault="00FF613A" w:rsidP="00FF613A">
      <w:pPr>
        <w:pStyle w:val="BodyText"/>
        <w:jc w:val="center"/>
        <w:rPr>
          <w:rtl/>
        </w:rPr>
      </w:pPr>
      <w:r>
        <w:rPr>
          <w:rtl/>
        </w:rPr>
        <w:t>على قدرِ أهل العزمِ تأتي العزائمُ      وتأتي على قدر الكرام المكارمُ</w:t>
      </w:r>
    </w:p>
    <w:p w:rsidR="00FF613A" w:rsidRDefault="00FF613A" w:rsidP="00FF613A">
      <w:pPr>
        <w:pStyle w:val="BodyText"/>
        <w:jc w:val="center"/>
        <w:rPr>
          <w:rFonts w:hint="cs"/>
          <w:rtl/>
        </w:rPr>
      </w:pPr>
    </w:p>
    <w:p w:rsidR="00FF613A" w:rsidRDefault="00FF613A" w:rsidP="00FF613A">
      <w:pPr>
        <w:pStyle w:val="BodyText"/>
        <w:jc w:val="center"/>
        <w:rPr>
          <w:rFonts w:hint="cs"/>
          <w:rtl/>
        </w:rPr>
      </w:pPr>
    </w:p>
    <w:p w:rsidR="00FF613A" w:rsidRDefault="00FF613A" w:rsidP="00FF613A">
      <w:pPr>
        <w:pStyle w:val="BodyText"/>
        <w:numPr>
          <w:ilvl w:val="0"/>
          <w:numId w:val="1"/>
        </w:numPr>
        <w:ind w:left="0" w:firstLine="0"/>
        <w:rPr>
          <w:rtl/>
        </w:rPr>
      </w:pPr>
      <w:r>
        <w:rPr>
          <w:rtl/>
        </w:rPr>
        <w:t xml:space="preserve">ـ  </w:t>
      </w:r>
      <w:r>
        <w:rPr>
          <w:b/>
          <w:bCs/>
          <w:rtl/>
        </w:rPr>
        <w:t>الدّخيل</w:t>
      </w:r>
      <w:r>
        <w:rPr>
          <w:rtl/>
        </w:rPr>
        <w:t>: وهو الحرف المتحرك الواقع بين حرفي التأسيس والرويّ ، والذي يجوز للشاعر تغييرهُ ، على خلاف ( التأسيس ، والروي ، والوصل والخروج )  فلا يجوز للشاعر تغييرها في القصيدة, ومثال الدخيل حرف الراء في كلمة ( المكارمِ ) في البيت السابق .</w:t>
      </w:r>
    </w:p>
    <w:p w:rsidR="00F35FFB" w:rsidRDefault="00F35FFB">
      <w:bookmarkStart w:id="0" w:name="_GoBack"/>
      <w:bookmarkEnd w:id="0"/>
    </w:p>
    <w:sectPr w:rsidR="00F35FFB" w:rsidSect="003E1B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D1887"/>
    <w:multiLevelType w:val="singleLevel"/>
    <w:tmpl w:val="724C2CCC"/>
    <w:lvl w:ilvl="0">
      <w:start w:val="3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3A"/>
    <w:rsid w:val="003E1BD4"/>
    <w:rsid w:val="00F35FFB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F613A"/>
    <w:pPr>
      <w:spacing w:after="0" w:line="240" w:lineRule="auto"/>
    </w:pPr>
    <w:rPr>
      <w:rFonts w:ascii="Times New Roman" w:eastAsia="Times New Roman" w:hAnsi="Times New Roman" w:cs="Simplified Arabic"/>
      <w:noProof/>
      <w:sz w:val="2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FF613A"/>
    <w:rPr>
      <w:rFonts w:ascii="Times New Roman" w:eastAsia="Times New Roman" w:hAnsi="Times New Roman" w:cs="Simplified Arabic"/>
      <w:noProof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F613A"/>
    <w:pPr>
      <w:spacing w:after="0" w:line="240" w:lineRule="auto"/>
    </w:pPr>
    <w:rPr>
      <w:rFonts w:ascii="Times New Roman" w:eastAsia="Times New Roman" w:hAnsi="Times New Roman" w:cs="Simplified Arabic"/>
      <w:noProof/>
      <w:sz w:val="2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FF613A"/>
    <w:rPr>
      <w:rFonts w:ascii="Times New Roman" w:eastAsia="Times New Roman" w:hAnsi="Times New Roman" w:cs="Simplified Arabic"/>
      <w:noProof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2813</Characters>
  <Application>Microsoft Office Word</Application>
  <DocSecurity>0</DocSecurity>
  <Lines>23</Lines>
  <Paragraphs>6</Paragraphs>
  <ScaleCrop>false</ScaleCrop>
  <Company>Enjoy My Fine Releases.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2018-10-08T14:59:00Z</dcterms:created>
  <dcterms:modified xsi:type="dcterms:W3CDTF">2018-10-08T15:00:00Z</dcterms:modified>
</cp:coreProperties>
</file>