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07" w:rsidRPr="00DB7907" w:rsidRDefault="00DB7907" w:rsidP="00DB7907">
      <w:pPr>
        <w:rPr>
          <w:rtl/>
          <w:lang w:bidi="ar-IQ"/>
        </w:rPr>
      </w:pPr>
      <w:r w:rsidRPr="00DB7907">
        <w:rPr>
          <w:rFonts w:hint="cs"/>
          <w:rtl/>
          <w:lang w:bidi="ar-IQ"/>
        </w:rPr>
        <w:t xml:space="preserve">أبنية </w:t>
      </w:r>
      <w:r w:rsidRPr="00DB7907">
        <w:rPr>
          <w:rtl/>
          <w:lang w:bidi="ar-IQ"/>
        </w:rPr>
        <w:t>المص</w:t>
      </w:r>
      <w:r w:rsidRPr="00DB7907">
        <w:rPr>
          <w:rFonts w:hint="cs"/>
          <w:rtl/>
          <w:lang w:bidi="ar-IQ"/>
        </w:rPr>
        <w:t>ا</w:t>
      </w:r>
      <w:r w:rsidRPr="00DB7907">
        <w:rPr>
          <w:rtl/>
          <w:lang w:bidi="ar-IQ"/>
        </w:rPr>
        <w:t>در</w:t>
      </w:r>
    </w:p>
    <w:p w:rsidR="00DB7907" w:rsidRPr="00DB7907" w:rsidRDefault="00DB7907" w:rsidP="00DB7907">
      <w:pPr>
        <w:rPr>
          <w:rtl/>
          <w:lang w:bidi="ar-IQ"/>
        </w:rPr>
      </w:pP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المصدر ، لغةً ، : الرجوع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 xml:space="preserve">، يُقال: (صدر عنه ، يصدر صَدَرًا ومَصْدرًا) ، وهو أيضًا: مَوضِع الصُدور ، وهو الانصراف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1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>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ab/>
        <w:t>أمّا اصطلاحًا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 xml:space="preserve">، فهو : " اسم الحدث الجاري على فعله"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2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 xml:space="preserve"> أو " اسم دالّ بالأصالة على معنًى قائمٍ بفاعِل أو صادرٍ عنه حقيقةً أو مجازًا أو واقع على مفعول ، وقد يُسمَّى فعلًا وحَدَثًا وحِدْثانًا ... "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3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 xml:space="preserve"> 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ab/>
        <w:t xml:space="preserve">ويدلُّ على الحدث ، ولا يدلُّ على الزمن دلالة لفظيَّة ، قال ابن يعيش : " المصادر لا تدلُّ على الزمن من جهة اللفظ ، وإنَّما الزمان من لوازمها وضروراتها"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4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>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ab/>
        <w:t xml:space="preserve">وعدمُ اقترانه بالزمن يُميِّزه من الفعل الّذي يدلُّ على الحدث مُقترنًا بالزمن ، فضلًا عن أنَّ الحدث في المصدر أعمُّ من الحدث في الفعل ، فالحدثُ في المصدر كلُّ معناه ، وفي الفعل جزءٌ من معناه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5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>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ab/>
        <w:t xml:space="preserve">وتتنوَّع مصادر الأفعال بحسب تنوُّع أفعالها ، فللأفعال الثُلاثيّة مصادر تختلف عنها في الأفعال الرُباعيّة وهي بدورها تختلف عن مصادر الأفعال الخُماسيّة والسُداسيّة ، ولا خلاف في قِياسيّة مصادر الأفعال غير الثُلاثيّة ، والمقصود بالقياسي أنّ له ضوابط إذا عرفناها عرفنا صياغة المصدر من غير الرجوع إلى المعجمات </w:t>
      </w:r>
      <w:r w:rsidRPr="00DB7907">
        <w:rPr>
          <w:rFonts w:hint="cs"/>
          <w:rtl/>
          <w:lang w:bidi="ar-IQ"/>
        </w:rPr>
        <w:t xml:space="preserve">، </w:t>
      </w:r>
      <w:r w:rsidRPr="00DB7907">
        <w:rPr>
          <w:rtl/>
          <w:lang w:bidi="ar-IQ"/>
        </w:rPr>
        <w:t xml:space="preserve">أمّا مصادر الأفعال الثُلاثيّة ففيها خلاف ، فمن العلماء من ذهب إلى قِياسيّتها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6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 xml:space="preserve"> ومنهم من ذهب إلى كونها سَماعيّة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7"/>
      </w:r>
      <w:r w:rsidRPr="00DB7907">
        <w:rPr>
          <w:vertAlign w:val="superscript"/>
          <w:rtl/>
          <w:lang w:bidi="ar-IQ"/>
        </w:rPr>
        <w:t>)</w:t>
      </w:r>
      <w:r w:rsidRPr="00DB7907">
        <w:rPr>
          <w:rFonts w:hint="cs"/>
          <w:rtl/>
          <w:lang w:bidi="ar-IQ"/>
        </w:rPr>
        <w:t xml:space="preserve"> ، ونقصد </w:t>
      </w:r>
      <w:r w:rsidRPr="00DB7907">
        <w:rPr>
          <w:rtl/>
          <w:lang w:bidi="ar-IQ"/>
        </w:rPr>
        <w:t>به أنه لا يُعرف غالبًا إلّا بالرجوع إلى المعجمات أو كتب اللغة لضبطها واستعمالها كما استعملها العرب.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ab/>
        <w:t xml:space="preserve">وكثيرًا ما تتعدَّد مصادر الأفعال الثُلاثيّة ، وقد عُزِي هذا التعدُّد إلى اختلاف اللهجات، فقد تستعمل قبيلةٌ مُعيَّنةٌ مصدرًا مُعيَّنًا ، وتستعمل قبيلةٌ أخرى مصدرًا آخر للفعل نفسه، وعُزِي أيضًا إلى اختلاف الدلالة </w:t>
      </w:r>
      <w:r w:rsidRPr="00DB7907">
        <w:rPr>
          <w:vertAlign w:val="superscript"/>
          <w:rtl/>
          <w:lang w:bidi="ar-IQ"/>
        </w:rPr>
        <w:t>(</w:t>
      </w:r>
      <w:r w:rsidRPr="00DB7907">
        <w:rPr>
          <w:vertAlign w:val="superscript"/>
          <w:rtl/>
          <w:lang w:bidi="ar-IQ"/>
        </w:rPr>
        <w:footnoteReference w:id="8"/>
      </w:r>
      <w:r w:rsidRPr="00DB7907">
        <w:rPr>
          <w:vertAlign w:val="superscript"/>
          <w:rtl/>
          <w:lang w:bidi="ar-IQ"/>
        </w:rPr>
        <w:t>)</w:t>
      </w:r>
      <w:r w:rsidRPr="00DB7907">
        <w:rPr>
          <w:rtl/>
          <w:lang w:bidi="ar-IQ"/>
        </w:rPr>
        <w:t>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Fonts w:hint="cs"/>
          <w:rtl/>
          <w:lang w:bidi="ar-IQ"/>
        </w:rPr>
        <w:t xml:space="preserve">أولا : </w:t>
      </w:r>
      <w:r w:rsidRPr="00DB7907">
        <w:rPr>
          <w:rtl/>
          <w:lang w:bidi="ar-IQ"/>
        </w:rPr>
        <w:t>مصادر الأفعال الثلاثية</w:t>
      </w:r>
      <w:r w:rsidRPr="00DB7907">
        <w:rPr>
          <w:rFonts w:hint="cs"/>
          <w:rtl/>
          <w:lang w:bidi="ar-IQ"/>
        </w:rPr>
        <w:t xml:space="preserve"> :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1ـ إذا كان الفعل الثلاثي على وزن (فَعَل) أو (فَعِل) متعدّيًا كان مصدره على وزن (فَعْل) سواء أكان الفعل صحيحًا أو معتلًّا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 xml:space="preserve">: 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نَحَت ـ نَحْتًا ، طَعَن ـ طَعْنًا، ساق ـ سَوْقًا، وَعَد ـ وَعْدًا ، أَمِن ـ أَمْنًا ، طَعِم ـ طَعْمًا ، خاف ـ خَوْفًا ، وَطِئ ـ وَطْئًا.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فإن دلّ على حرفة كان على وزن (فِعَالة)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: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كَتَب ـ كِتابة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حاك ـ حِياكة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نَجَر ـ نِجارة ، صاغ ـ صِياغة.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2ـ إذا كان الفعل على وزن (فَعِل) لازمًا كان مصدره على وزن (فَعَل)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سواء أكان صحيحًا أم كان معتلًا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: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فَرِح ـ فَرَحًا ، نَدِم ـ نَدَمًا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حَذِر ـ حَذَرًا ، عَوِز ـ عَوِزًا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وَجِل ـ وَجَلًا.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فإ</w:t>
      </w:r>
      <w:r w:rsidRPr="00DB7907">
        <w:rPr>
          <w:rFonts w:hint="cs"/>
          <w:rtl/>
          <w:lang w:bidi="ar-IQ"/>
        </w:rPr>
        <w:t>ن</w:t>
      </w:r>
      <w:r w:rsidRPr="00DB7907">
        <w:rPr>
          <w:rtl/>
          <w:lang w:bidi="ar-IQ"/>
        </w:rPr>
        <w:t xml:space="preserve"> دلّ على لون كان المصدر على وزن (فُعْلَة) إذا كان صحيحًا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: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 xml:space="preserve"> (حَمِر ـ حُمْرَة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زرِق ـ زُرْقَة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صفِر ـ صُفْرَة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أو على (فَعَال) إذا كان معتلَّ العين، مثل: ( البَيَاض ، السَوَاد).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lastRenderedPageBreak/>
        <w:t xml:space="preserve">وقد يأتي المصدر على وزن (فُعُول) ، مثل: ( برِئ ـ </w:t>
      </w:r>
      <w:proofErr w:type="spellStart"/>
      <w:r w:rsidRPr="00DB7907">
        <w:rPr>
          <w:rtl/>
          <w:lang w:bidi="ar-IQ"/>
        </w:rPr>
        <w:t>بُرُوء</w:t>
      </w:r>
      <w:r w:rsidRPr="00DB7907">
        <w:rPr>
          <w:rFonts w:hint="cs"/>
          <w:rtl/>
          <w:lang w:bidi="ar-IQ"/>
        </w:rPr>
        <w:t>ا</w:t>
      </w:r>
      <w:proofErr w:type="spellEnd"/>
      <w:r w:rsidRPr="00DB7907">
        <w:rPr>
          <w:rtl/>
          <w:lang w:bidi="ar-IQ"/>
        </w:rPr>
        <w:t xml:space="preserve"> ، رَكِن ـ رُكُون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أو على (فُعُولة)،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 xml:space="preserve"> مثل: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( دَسِم ـ دُسُومة ، رَطِب ـ رُطُوبة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3ـ إذا كان الفعل على وزن (فَعَل) اللازم كان مصدره على وزن (فُعُول) بشرط أن لا يكون الفعل أجوف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مثل: ( مَرَّ ـ مُرُور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 وَصَل ـ وُصُول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 عَدَل ـ عُدُول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 سَكَت ـ سُكُوت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ويُستثنى من ذلك ما يلي: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أ ـ ما دلّ على حرفة فقياس مصدره على (فِعالة)، مثل:( تِجارة ، عِرافة ، إمَارة).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ب ـ ما كان أجوف فالكثير منه على (فَعْل) أو (فِعال) أو (فِعالة)، مثل: صام ـ صَوْمًا، صَام ـ صِيامًا، دان ـ دِيانة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 xml:space="preserve"> 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ج ـ ما دلّ على امتناع فقياس مصدره على (فِعال)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: (أب</w:t>
      </w:r>
      <w:r w:rsidRPr="00DB7907">
        <w:rPr>
          <w:rFonts w:hint="cs"/>
          <w:rtl/>
          <w:lang w:bidi="ar-IQ"/>
        </w:rPr>
        <w:t>ى</w:t>
      </w:r>
      <w:r w:rsidRPr="00DB7907">
        <w:rPr>
          <w:rtl/>
          <w:lang w:bidi="ar-IQ"/>
        </w:rPr>
        <w:t xml:space="preserve"> ـ إباء</w:t>
      </w:r>
      <w:r w:rsidRPr="00DB7907">
        <w:rPr>
          <w:rFonts w:hint="cs"/>
          <w:rtl/>
          <w:lang w:bidi="ar-IQ"/>
        </w:rPr>
        <w:t xml:space="preserve">ً </w:t>
      </w:r>
      <w:r w:rsidRPr="00DB7907">
        <w:rPr>
          <w:rtl/>
          <w:lang w:bidi="ar-IQ"/>
        </w:rPr>
        <w:t>، عَزَف ـ عِزاف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د ـ ما دلّ على حركة واضطراب فقياس مصدره على (فَعَلان)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 xml:space="preserve">، نحو: ( </w:t>
      </w:r>
      <w:r w:rsidRPr="00DB7907">
        <w:rPr>
          <w:rFonts w:hint="cs"/>
          <w:rtl/>
          <w:lang w:bidi="ar-IQ"/>
        </w:rPr>
        <w:t xml:space="preserve">طاف ـ </w:t>
      </w:r>
      <w:r w:rsidRPr="00DB7907">
        <w:rPr>
          <w:rtl/>
          <w:lang w:bidi="ar-IQ"/>
        </w:rPr>
        <w:t>طَوَفان</w:t>
      </w:r>
      <w:r w:rsidRPr="00DB7907">
        <w:rPr>
          <w:rFonts w:hint="cs"/>
          <w:rtl/>
          <w:lang w:bidi="ar-IQ"/>
        </w:rPr>
        <w:t>ا</w:t>
      </w:r>
      <w:r w:rsidRPr="00DB7907">
        <w:rPr>
          <w:rtl/>
          <w:lang w:bidi="ar-IQ"/>
        </w:rPr>
        <w:t xml:space="preserve"> ، </w:t>
      </w:r>
      <w:r w:rsidRPr="00DB7907">
        <w:rPr>
          <w:rFonts w:hint="cs"/>
          <w:rtl/>
          <w:lang w:bidi="ar-IQ"/>
        </w:rPr>
        <w:t xml:space="preserve">دار ـ </w:t>
      </w:r>
      <w:r w:rsidRPr="00DB7907">
        <w:rPr>
          <w:rtl/>
          <w:lang w:bidi="ar-IQ"/>
        </w:rPr>
        <w:t>دَوَران</w:t>
      </w:r>
      <w:r w:rsidRPr="00DB7907">
        <w:rPr>
          <w:rFonts w:hint="cs"/>
          <w:rtl/>
          <w:lang w:bidi="ar-IQ"/>
        </w:rPr>
        <w:t>ا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هـ ـ ما دلّ على داء فقياس مصدره (فُعَال)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: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( سَعَل ـ سُعَال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 زَكَم ـ زُكام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وـ ما دلّ على سير فقياس مصدره على ( فَعيل)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مثل: ( دَبَّ ـ دَبيب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 رَحَل ـ رَحيل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ز ـ ما دلّ على صوت فقياس مصدره على (فُعال)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: ( بكى ـ بُكاء</w:t>
      </w:r>
      <w:r w:rsidRPr="00DB7907">
        <w:rPr>
          <w:rFonts w:hint="cs"/>
          <w:rtl/>
          <w:lang w:bidi="ar-IQ"/>
        </w:rPr>
        <w:t xml:space="preserve">ً </w:t>
      </w:r>
      <w:r w:rsidRPr="00DB7907">
        <w:rPr>
          <w:rtl/>
          <w:lang w:bidi="ar-IQ"/>
        </w:rPr>
        <w:t>، صَرَخ ـ صُراخ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)، أو على (فَعيل)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مثل: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( نَعَق ـ نَعيق</w:t>
      </w:r>
      <w:r w:rsidRPr="00DB7907">
        <w:rPr>
          <w:rFonts w:hint="cs"/>
          <w:rtl/>
          <w:lang w:bidi="ar-IQ"/>
        </w:rPr>
        <w:t>ا</w:t>
      </w:r>
      <w:r w:rsidRPr="00DB7907">
        <w:rPr>
          <w:rtl/>
          <w:lang w:bidi="ar-IQ"/>
        </w:rPr>
        <w:t xml:space="preserve"> ، طنَّ ـ طَنين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، ضَجّ ـ ضَجيج</w:t>
      </w:r>
      <w:r w:rsidRPr="00DB7907">
        <w:rPr>
          <w:rFonts w:hint="cs"/>
          <w:rtl/>
          <w:lang w:bidi="ar-IQ"/>
        </w:rPr>
        <w:t xml:space="preserve">ا </w:t>
      </w:r>
      <w:r w:rsidRPr="00DB7907">
        <w:rPr>
          <w:rtl/>
          <w:lang w:bidi="ar-IQ"/>
        </w:rPr>
        <w:t>).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4ـ إذا كان الفعل على وزن (فَعُل) فمصدره يكون على وزن (فَعالة) أو (فُعُولة) مثل: بَدُن ـ بَدانة ، بَذُؤَ ـ بَذاءة ، بَطُل ـ بُطُولة ، حَمُض ـ حُمُوضة .</w:t>
      </w:r>
    </w:p>
    <w:p w:rsidR="00DB7907" w:rsidRPr="00DB7907" w:rsidRDefault="00DB7907" w:rsidP="00DB7907">
      <w:pPr>
        <w:rPr>
          <w:rtl/>
          <w:lang w:bidi="ar-IQ"/>
        </w:rPr>
      </w:pPr>
      <w:r w:rsidRPr="00DB7907">
        <w:rPr>
          <w:rtl/>
          <w:lang w:bidi="ar-IQ"/>
        </w:rPr>
        <w:t>وقد يأتي على وزن (فَعَال) أو (فُعْل)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مثل</w:t>
      </w:r>
      <w:r w:rsidRPr="00DB7907">
        <w:rPr>
          <w:rFonts w:hint="cs"/>
          <w:rtl/>
          <w:lang w:bidi="ar-IQ"/>
        </w:rPr>
        <w:t xml:space="preserve"> :</w:t>
      </w:r>
      <w:r w:rsidRPr="00DB7907">
        <w:rPr>
          <w:rtl/>
          <w:lang w:bidi="ar-IQ"/>
        </w:rPr>
        <w:t xml:space="preserve"> ( جَمُل ـ جمالًا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حَرُم ـ حَرام</w:t>
      </w:r>
      <w:r w:rsidRPr="00DB7907">
        <w:rPr>
          <w:rFonts w:hint="cs"/>
          <w:rtl/>
          <w:lang w:bidi="ar-IQ"/>
        </w:rPr>
        <w:t>ً</w:t>
      </w:r>
      <w:r w:rsidRPr="00DB7907">
        <w:rPr>
          <w:rtl/>
          <w:lang w:bidi="ar-IQ"/>
        </w:rPr>
        <w:t>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، بَخُل ـ بُخْلًا</w:t>
      </w:r>
      <w:r w:rsidRPr="00DB7907">
        <w:rPr>
          <w:rFonts w:hint="cs"/>
          <w:rtl/>
          <w:lang w:bidi="ar-IQ"/>
        </w:rPr>
        <w:t xml:space="preserve"> </w:t>
      </w:r>
      <w:r w:rsidRPr="00DB7907">
        <w:rPr>
          <w:rtl/>
          <w:lang w:bidi="ar-IQ"/>
        </w:rPr>
        <w:t>).</w:t>
      </w:r>
    </w:p>
    <w:p w:rsidR="0090119D" w:rsidRDefault="0090119D">
      <w:pPr>
        <w:rPr>
          <w:lang w:bidi="ar-IQ"/>
        </w:rPr>
      </w:pPr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F3" w:rsidRDefault="00D551F3" w:rsidP="00DB7907">
      <w:pPr>
        <w:spacing w:after="0" w:line="240" w:lineRule="auto"/>
      </w:pPr>
      <w:r>
        <w:separator/>
      </w:r>
    </w:p>
  </w:endnote>
  <w:endnote w:type="continuationSeparator" w:id="0">
    <w:p w:rsidR="00D551F3" w:rsidRDefault="00D551F3" w:rsidP="00DB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F3" w:rsidRDefault="00D551F3" w:rsidP="00DB7907">
      <w:pPr>
        <w:spacing w:after="0" w:line="240" w:lineRule="auto"/>
      </w:pPr>
      <w:r>
        <w:separator/>
      </w:r>
    </w:p>
  </w:footnote>
  <w:footnote w:type="continuationSeparator" w:id="0">
    <w:p w:rsidR="00D551F3" w:rsidRDefault="00D551F3" w:rsidP="00DB7907">
      <w:pPr>
        <w:spacing w:after="0" w:line="240" w:lineRule="auto"/>
      </w:pPr>
      <w:r>
        <w:continuationSeparator/>
      </w:r>
    </w:p>
  </w:footnote>
  <w:footnote w:id="1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 : تاج العروس : (صدر).</w:t>
      </w:r>
    </w:p>
  </w:footnote>
  <w:footnote w:id="2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شرح الكافية : 2/191.</w:t>
      </w:r>
    </w:p>
  </w:footnote>
  <w:footnote w:id="3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التسهيل : 87.</w:t>
      </w:r>
    </w:p>
  </w:footnote>
  <w:footnote w:id="4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شرح المُفصَّل : 1/23.</w:t>
      </w:r>
    </w:p>
  </w:footnote>
  <w:footnote w:id="5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الاسم في العربيَّة بنية ودلالة (رسالة ماجستير) : 317.</w:t>
      </w:r>
    </w:p>
  </w:footnote>
  <w:footnote w:id="6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الكتاب : 4/7-9 ، والمُقرَّب : 486-492 ، وأوضح المسالك : 2/260-261.</w:t>
      </w:r>
    </w:p>
  </w:footnote>
  <w:footnote w:id="7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المقتضب : 1/71 ، وشرح المُفصَّل : 6/44 ، وشرح الشافية : 1/151-152.</w:t>
      </w:r>
    </w:p>
  </w:footnote>
  <w:footnote w:id="8">
    <w:p w:rsidR="00DB7907" w:rsidRPr="00D24F89" w:rsidRDefault="00DB7907" w:rsidP="00DB7907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معاني الأبنية : 19-21.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07"/>
    <w:rsid w:val="00376DCA"/>
    <w:rsid w:val="0090119D"/>
    <w:rsid w:val="00D551F3"/>
    <w:rsid w:val="00D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B790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B7907"/>
    <w:rPr>
      <w:sz w:val="20"/>
      <w:szCs w:val="20"/>
    </w:rPr>
  </w:style>
  <w:style w:type="character" w:styleId="a4">
    <w:name w:val="footnote reference"/>
    <w:basedOn w:val="a0"/>
    <w:semiHidden/>
    <w:rsid w:val="00DB7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B790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B7907"/>
    <w:rPr>
      <w:sz w:val="20"/>
      <w:szCs w:val="20"/>
    </w:rPr>
  </w:style>
  <w:style w:type="character" w:styleId="a4">
    <w:name w:val="footnote reference"/>
    <w:basedOn w:val="a0"/>
    <w:semiHidden/>
    <w:rsid w:val="00DB7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2018-01-16T06:57:00Z</dcterms:created>
  <dcterms:modified xsi:type="dcterms:W3CDTF">2018-01-16T06:58:00Z</dcterms:modified>
</cp:coreProperties>
</file>