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F3" w:rsidRDefault="00473F5A" w:rsidP="00D85901">
      <w:pPr>
        <w:jc w:val="right"/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</w:pPr>
      <w:r>
        <w:rPr>
          <w:rStyle w:val="1"/>
          <w:rFonts w:ascii="Traditional Arabic" w:hAnsi="Traditional Arabic" w:cs="Traditional Arabic"/>
          <w:b/>
          <w:bCs/>
          <w:color w:val="A52A2A"/>
          <w:sz w:val="36"/>
          <w:szCs w:val="36"/>
          <w:bdr w:val="none" w:sz="0" w:space="0" w:color="auto" w:frame="1"/>
          <w:shd w:val="clear" w:color="auto" w:fill="FFFFFF"/>
        </w:rPr>
        <w:t>(</w:t>
      </w:r>
      <w:r>
        <w:rPr>
          <w:rStyle w:val="1"/>
          <w:rFonts w:ascii="Traditional Arabic" w:hAnsi="Traditional Arabic" w:cs="Traditional Arabic"/>
          <w:b/>
          <w:bCs/>
          <w:color w:val="A52A2A"/>
          <w:sz w:val="36"/>
          <w:szCs w:val="36"/>
          <w:bdr w:val="none" w:sz="0" w:space="0" w:color="auto" w:frame="1"/>
          <w:shd w:val="clear" w:color="auto" w:fill="FFFFFF"/>
          <w:rtl/>
        </w:rPr>
        <w:t>التوابع</w:t>
      </w:r>
      <w:r>
        <w:rPr>
          <w:rStyle w:val="1"/>
          <w:rFonts w:ascii="Traditional Arabic" w:hAnsi="Traditional Arabic" w:cs="Traditional Arabic"/>
          <w:b/>
          <w:bCs/>
          <w:color w:val="A52A2A"/>
          <w:sz w:val="36"/>
          <w:szCs w:val="36"/>
          <w:bdr w:val="none" w:sz="0" w:space="0" w:color="auto" w:frame="1"/>
          <w:shd w:val="clear" w:color="auto" w:fill="FFFFFF"/>
        </w:rPr>
        <w:t>)</w:t>
      </w:r>
      <w:r>
        <w:rPr>
          <w:rFonts w:ascii="Traditional Arabic" w:hAnsi="Traditional Arabic" w:cs="Traditional Arabic"/>
          <w:b/>
          <w:bCs/>
          <w:color w:val="A52A2A"/>
          <w:sz w:val="36"/>
          <w:szCs w:val="36"/>
          <w:bdr w:val="none" w:sz="0" w:space="0" w:color="auto" w:frame="1"/>
          <w:shd w:val="clear" w:color="auto" w:fill="FFFFFF"/>
        </w:rPr>
        <w:br/>
      </w:r>
      <w:r w:rsidRPr="00D85901">
        <w:rPr>
          <w:rStyle w:val="1"/>
          <w:rFonts w:ascii="Traditional Arabic" w:hAnsi="Traditional Arabic" w:cs="Traditional Arabic"/>
          <w:b/>
          <w:bCs/>
          <w:color w:val="A52A2A"/>
          <w:sz w:val="40"/>
          <w:szCs w:val="40"/>
          <w:u w:val="single"/>
          <w:bdr w:val="none" w:sz="0" w:space="0" w:color="auto" w:frame="1"/>
          <w:shd w:val="clear" w:color="auto" w:fill="FFFFFF"/>
          <w:rtl/>
        </w:rPr>
        <w:t>النعت</w:t>
      </w:r>
      <w:r w:rsidR="00D85901">
        <w:rPr>
          <w:rStyle w:val="1"/>
          <w:rFonts w:ascii="Traditional Arabic" w:hAnsi="Traditional Arabic" w:cs="Traditional Arabic" w:hint="cs"/>
          <w:b/>
          <w:bCs/>
          <w:color w:val="A52A2A"/>
          <w:sz w:val="40"/>
          <w:szCs w:val="40"/>
          <w:u w:val="single"/>
          <w:bdr w:val="none" w:sz="0" w:space="0" w:color="auto" w:frame="1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  </w:t>
      </w:r>
      <w:r w:rsidR="00D85901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 w:rsidRPr="00D85901">
        <w:rPr>
          <w:rFonts w:ascii="Traditional Arabic" w:hAnsi="Traditional Arabic" w:cs="Traditional Arabic"/>
          <w:b/>
          <w:bCs/>
          <w:color w:val="222222"/>
          <w:sz w:val="36"/>
          <w:szCs w:val="36"/>
          <w:u w:val="single"/>
          <w:shd w:val="clear" w:color="auto" w:fill="FFFFFF"/>
          <w:rtl/>
        </w:rPr>
        <w:t xml:space="preserve">التابع: 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هو الاسم المشارك لما قبله في إعرابه مطلقا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ً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فيدخل في قولك الاسم المشارك لما قبله في إعرابه سائر التوابع وخبر المبتدأ نحو 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 xml:space="preserve">: 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زيد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قائم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ٌ،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وحال المنصوب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نحو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ضرب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ْ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ت زيدا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ً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مجرد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ً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ا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.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ويخرج بقولك مطلقا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ً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الخبر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وحال المنصوب فإنهما لا يشاركان ما قبلهما في إعرابه مطلقا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ً،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بل في بعض أحواله بخلاف التابع فإنه يشارك ما قبله في سائر أحواله من الإعراب نحو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مرر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ْ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ت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بزيد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الكريم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ِ،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ورأيت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زيدا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ً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الكريم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َ،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وجاء زيد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الكريم</w:t>
      </w:r>
      <w:r w:rsidR="00D85901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ُ.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.</w:t>
      </w:r>
    </w:p>
    <w:p w:rsidR="00473F5A" w:rsidRDefault="00473F5A" w:rsidP="00EC14B6">
      <w:pPr>
        <w:jc w:val="right"/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</w:pPr>
      <w:r w:rsidRPr="00EC14B6">
        <w:rPr>
          <w:rFonts w:ascii="Traditional Arabic" w:hAnsi="Traditional Arabic" w:cs="Traditional Arabic"/>
          <w:b/>
          <w:bCs/>
          <w:color w:val="222222"/>
          <w:sz w:val="36"/>
          <w:szCs w:val="36"/>
          <w:u w:val="single"/>
          <w:shd w:val="clear" w:color="auto" w:fill="FFFFFF"/>
          <w:rtl/>
        </w:rPr>
        <w:t xml:space="preserve">والتابع على خمسة أنواع: النعت والتوكيد وعطف البيان وعطف النسق والبدل </w:t>
      </w:r>
      <w:r w:rsidR="00C67BD4" w:rsidRPr="00EC14B6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u w:val="single"/>
          <w:shd w:val="clear" w:color="auto" w:fill="FFFFFF"/>
          <w:rtl/>
        </w:rPr>
        <w:t>.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عرف النعت بأنه: التابع المكمل </w:t>
      </w:r>
      <w:proofErr w:type="spellStart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متبوعه</w:t>
      </w:r>
      <w:proofErr w:type="spellEnd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ببيان صفة من صفاته نحو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مررت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برجل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كريم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أو من صفات ما تعلق به وهو سببيه نحو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مررت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برجل 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كريم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أبوه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.</w:t>
      </w:r>
      <w:r w:rsidR="00EC14B6"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فقوله التابع يشمل التوابع كلها وقوله المكمل إلى آخره مخرج لما عدا النعت من التوابع والنعت يكون للتخصيص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نحو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مررت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بزيد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الخياط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ِ،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وللمدح نحو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مررت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بزيد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الكريم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ِ،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ومنه قوله تعالى: {بِسْمِ اللهِ الرَّحْمَنِ الرَّحِيمِ} وللذم نحو 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مررت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بزيد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الفاسق</w:t>
      </w:r>
      <w:r w:rsidR="00C67BD4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ِ،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ومنه قوله تعالى: {فَاسْتَعِذْ بِاللهِ</w:t>
      </w:r>
    </w:p>
    <w:p w:rsidR="00473F5A" w:rsidRDefault="00473F5A" w:rsidP="00FB373D">
      <w:pPr>
        <w:jc w:val="right"/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مِنَ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الشَّيْطَانِ الرَّجِيمِ} وللترحم نحو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مرر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ْ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ت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بزيد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المسكين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ِ،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وللتأكيد نحو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أمس الدابر </w:t>
      </w:r>
      <w:proofErr w:type="spellStart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لايعود</w:t>
      </w:r>
      <w:proofErr w:type="spellEnd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وقوله تعالى: {فَإِذَا نُفِخَ فِي الصُّورِ نَفْخَةٌ وَاحِدَةٌ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 xml:space="preserve"> 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النعت يجب فيه أن يتبع ما قبله في إعرابه وتعريفه أو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تنكيره نحو 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مررت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بقوم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كرماء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َ،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ومررت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بزيد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الكريم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ِ،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فلا تنعت المعرفة بالنكرة فلا تقول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مررت بزيد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كريم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ٍ،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ولا تنعت النكرة بالمعرفة فلا تقول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: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مررت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ُ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برجل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ٍ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 الكريم</w:t>
      </w:r>
      <w:r w:rsidR="00FB373D">
        <w:rPr>
          <w:rFonts w:ascii="Traditional Arabic" w:hAnsi="Traditional Arabic" w:cs="Traditional Arabic" w:hint="cs"/>
          <w:b/>
          <w:bCs/>
          <w:color w:val="222222"/>
          <w:sz w:val="36"/>
          <w:szCs w:val="36"/>
          <w:shd w:val="clear" w:color="auto" w:fill="FFFFFF"/>
          <w:rtl/>
        </w:rPr>
        <w:t>ِ.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.</w:t>
      </w:r>
    </w:p>
    <w:p w:rsidR="00473F5A" w:rsidRDefault="00473F5A" w:rsidP="00473F5A">
      <w:pPr>
        <w:jc w:val="right"/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.</w:t>
      </w:r>
    </w:p>
    <w:sectPr w:rsidR="00473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29"/>
    <w:rsid w:val="000C20F8"/>
    <w:rsid w:val="003A7129"/>
    <w:rsid w:val="00473F5A"/>
    <w:rsid w:val="006427F3"/>
    <w:rsid w:val="00C67BD4"/>
    <w:rsid w:val="00D85901"/>
    <w:rsid w:val="00EC14B6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العنوان1"/>
    <w:basedOn w:val="a0"/>
    <w:rsid w:val="00473F5A"/>
  </w:style>
  <w:style w:type="character" w:customStyle="1" w:styleId="red">
    <w:name w:val="red"/>
    <w:basedOn w:val="a0"/>
    <w:rsid w:val="00473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العنوان1"/>
    <w:basedOn w:val="a0"/>
    <w:rsid w:val="00473F5A"/>
  </w:style>
  <w:style w:type="character" w:customStyle="1" w:styleId="red">
    <w:name w:val="red"/>
    <w:basedOn w:val="a0"/>
    <w:rsid w:val="0047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Company>SACC - ANAS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9</cp:revision>
  <dcterms:created xsi:type="dcterms:W3CDTF">2018-03-17T16:46:00Z</dcterms:created>
  <dcterms:modified xsi:type="dcterms:W3CDTF">2018-03-18T14:12:00Z</dcterms:modified>
</cp:coreProperties>
</file>