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070911" w:rsidRPr="00070911" w:rsidRDefault="006B3B1F" w:rsidP="00070911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070911" w:rsidRPr="00070911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السابعة والعشرون</w:t>
      </w:r>
    </w:p>
    <w:p w:rsidR="00070911" w:rsidRPr="00070911" w:rsidRDefault="00070911" w:rsidP="00070911">
      <w:pPr>
        <w:spacing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70911">
        <w:rPr>
          <w:rFonts w:asciiTheme="majorBidi" w:hAnsiTheme="majorBidi" w:cs="PT Bold Heading" w:hint="cs"/>
          <w:sz w:val="32"/>
          <w:szCs w:val="32"/>
          <w:rtl/>
          <w:lang w:bidi="ar-IQ"/>
        </w:rPr>
        <w:t>الحِكم:</w:t>
      </w:r>
    </w:p>
    <w:p w:rsidR="00070911" w:rsidRPr="00070911" w:rsidRDefault="00070911" w:rsidP="00070911">
      <w:pPr>
        <w:spacing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حكم العرب في </w:t>
      </w:r>
      <w:r w:rsidRPr="00070911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الجاهلية:</w:t>
      </w: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الحكمة: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قول موجز مشهور صائب الفكرة رائع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التعبير،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يتضمن معنى مسلما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به،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يهدف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الخير والصواب وتعبر عن خلاصة خبرات وتجارب صاحبها في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الحياة.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فيم تلتقي الحكمة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والمثل؟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وفيم يختلفان؟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>تتفق الحك</w:t>
      </w:r>
      <w:bookmarkStart w:id="0" w:name="_GoBack"/>
      <w:bookmarkEnd w:id="0"/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مة مع المثل </w:t>
      </w:r>
      <w:r w:rsidRPr="00070911">
        <w:rPr>
          <w:rFonts w:asciiTheme="majorBidi" w:hAnsiTheme="majorBidi" w:cs="PT Bold Heading" w:hint="cs"/>
          <w:sz w:val="32"/>
          <w:szCs w:val="32"/>
          <w:rtl/>
          <w:lang w:bidi="ar-IQ"/>
        </w:rPr>
        <w:t>في</w:t>
      </w:r>
      <w:r w:rsidRPr="0007091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الإيجاز،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والصدق،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وقوة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التعبير،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وسلامة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الفكرة.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وتختلف الحكمة عن المثل في </w:t>
      </w:r>
      <w:r w:rsidRPr="00070911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امرين: </w:t>
      </w:r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>-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1- 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لا ترتبط في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أساسها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بحادثة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قصة.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2-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إنها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تصدر غالبا عن طائفة خاصة من الناس لها خبرتها وتجاربها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وثقافتها.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70911">
        <w:rPr>
          <w:rFonts w:asciiTheme="majorBidi" w:hAnsiTheme="majorBidi" w:cs="PT Bold Heading" w:hint="cs"/>
          <w:sz w:val="32"/>
          <w:szCs w:val="32"/>
          <w:rtl/>
          <w:lang w:bidi="ar-IQ"/>
        </w:rPr>
        <w:t>أسباب</w:t>
      </w:r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انتشارها: </w:t>
      </w:r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>-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قد شاعت الحكمة على السنة العرب لاعتمادها على التجارب واستخلاص العظة من الحوادث ونفاذ البصيرة والتمكن من ناحية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البلاغة.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>الخصائص الفنية لأسلوب الحكمة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070911" w:rsidRPr="00070911" w:rsidRDefault="00070911" w:rsidP="00070911">
      <w:pPr>
        <w:numPr>
          <w:ilvl w:val="0"/>
          <w:numId w:val="26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روعة التعبير </w:t>
      </w:r>
    </w:p>
    <w:p w:rsidR="00070911" w:rsidRPr="00070911" w:rsidRDefault="00070911" w:rsidP="00070911">
      <w:pPr>
        <w:numPr>
          <w:ilvl w:val="0"/>
          <w:numId w:val="26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قوة اللفظ </w:t>
      </w:r>
    </w:p>
    <w:p w:rsidR="00070911" w:rsidRPr="00070911" w:rsidRDefault="00070911" w:rsidP="00070911">
      <w:pPr>
        <w:numPr>
          <w:ilvl w:val="0"/>
          <w:numId w:val="26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دقة التشبيه </w:t>
      </w:r>
    </w:p>
    <w:p w:rsidR="00070911" w:rsidRPr="00070911" w:rsidRDefault="00070911" w:rsidP="00070911">
      <w:pPr>
        <w:numPr>
          <w:ilvl w:val="0"/>
          <w:numId w:val="26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سلامة الفكرة مع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الإيجاز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ن الحكمة قول موجز يقوم على فكرة سديدة وتكون بعد تأمل وموازنة بين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الأمور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واستخلاص العبرة منها ولذلك فهي تعبر عن الرأي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والعقل.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نماذج من حكم العرب في </w:t>
      </w:r>
      <w:r w:rsidRPr="00070911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الجاهلية:</w:t>
      </w:r>
    </w:p>
    <w:p w:rsidR="00070911" w:rsidRPr="00070911" w:rsidRDefault="00070911" w:rsidP="00070911">
      <w:pPr>
        <w:pStyle w:val="a3"/>
        <w:numPr>
          <w:ilvl w:val="0"/>
          <w:numId w:val="29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(مصارع الرجال تحت بروق الطمع)</w:t>
      </w:r>
    </w:p>
    <w:p w:rsidR="00070911" w:rsidRPr="00070911" w:rsidRDefault="00070911" w:rsidP="00070911">
      <w:pPr>
        <w:pStyle w:val="a3"/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فيها دعوة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القناعة فأن الطمع يقتل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صاحبه.</w:t>
      </w:r>
    </w:p>
    <w:p w:rsidR="00070911" w:rsidRPr="00070911" w:rsidRDefault="00070911" w:rsidP="00070911">
      <w:pPr>
        <w:pStyle w:val="a3"/>
        <w:numPr>
          <w:ilvl w:val="0"/>
          <w:numId w:val="29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(رب المرء خير من ذهبه)</w:t>
      </w:r>
    </w:p>
    <w:p w:rsidR="00070911" w:rsidRPr="00070911" w:rsidRDefault="00070911" w:rsidP="00070911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>معناها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قيمة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الإنسان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بأدبه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بماله.</w:t>
      </w:r>
    </w:p>
    <w:p w:rsidR="00070911" w:rsidRPr="00070911" w:rsidRDefault="00070911" w:rsidP="00070911">
      <w:pPr>
        <w:pStyle w:val="a3"/>
        <w:numPr>
          <w:ilvl w:val="0"/>
          <w:numId w:val="29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(من فسدت بطانته كان كالغاص بالماء)</w:t>
      </w:r>
    </w:p>
    <w:p w:rsidR="00070911" w:rsidRPr="00070911" w:rsidRDefault="00070911" w:rsidP="00070911">
      <w:pPr>
        <w:pStyle w:val="a3"/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معناها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(فمن استعان بقوم غير صالحين لم يفلح في عمله ويكون مثله كمثل من يقف الماء في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حلقه،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فلا يجد سبيلا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إزالة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غصته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)،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فهي تدعو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حسن اختيار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الأعوان.</w:t>
      </w:r>
    </w:p>
    <w:p w:rsidR="00070911" w:rsidRPr="00070911" w:rsidRDefault="00070911" w:rsidP="00070911">
      <w:pPr>
        <w:pStyle w:val="a3"/>
        <w:numPr>
          <w:ilvl w:val="0"/>
          <w:numId w:val="29"/>
        </w:num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(من شدد </w:t>
      </w:r>
      <w:r w:rsidRPr="0007091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نفر،</w:t>
      </w: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ومن تراخى تألف) </w:t>
      </w:r>
    </w:p>
    <w:p w:rsidR="00070911" w:rsidRPr="00070911" w:rsidRDefault="00070911" w:rsidP="00070911">
      <w:pPr>
        <w:pStyle w:val="a3"/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91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معناها</w:t>
      </w:r>
      <w:r w:rsidRPr="0007091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فالناس تنفر من الشديد القاسي وتميل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اللين الرحيم وهي تدعو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اللين في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المعاملة،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وحسن معاملة </w:t>
      </w:r>
      <w:r w:rsidRPr="00070911">
        <w:rPr>
          <w:rFonts w:asciiTheme="majorBidi" w:hAnsiTheme="majorBidi" w:cstheme="majorBidi" w:hint="cs"/>
          <w:sz w:val="32"/>
          <w:szCs w:val="32"/>
          <w:rtl/>
          <w:lang w:bidi="ar-IQ"/>
        </w:rPr>
        <w:t>الناس.</w:t>
      </w:r>
      <w:r w:rsidRPr="0007091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AE6EFE" w:rsidRPr="00070911" w:rsidRDefault="00AE6EFE" w:rsidP="00070911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AE6EFE" w:rsidRPr="00070911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9A" w:rsidRDefault="0049479A" w:rsidP="00561D64">
      <w:pPr>
        <w:spacing w:after="0" w:line="240" w:lineRule="auto"/>
      </w:pPr>
      <w:r>
        <w:separator/>
      </w:r>
    </w:p>
  </w:endnote>
  <w:endnote w:type="continuationSeparator" w:id="0">
    <w:p w:rsidR="0049479A" w:rsidRDefault="0049479A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070911" w:rsidRPr="00070911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2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9A" w:rsidRDefault="0049479A" w:rsidP="00561D64">
      <w:pPr>
        <w:spacing w:after="0" w:line="240" w:lineRule="auto"/>
      </w:pPr>
      <w:r>
        <w:separator/>
      </w:r>
    </w:p>
  </w:footnote>
  <w:footnote w:type="continuationSeparator" w:id="0">
    <w:p w:rsidR="0049479A" w:rsidRDefault="0049479A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A0CA2"/>
    <w:multiLevelType w:val="hybridMultilevel"/>
    <w:tmpl w:val="FCE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19"/>
  </w:num>
  <w:num w:numId="5">
    <w:abstractNumId w:val="7"/>
  </w:num>
  <w:num w:numId="6">
    <w:abstractNumId w:val="21"/>
  </w:num>
  <w:num w:numId="7">
    <w:abstractNumId w:val="17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8"/>
  </w:num>
  <w:num w:numId="13">
    <w:abstractNumId w:val="8"/>
  </w:num>
  <w:num w:numId="14">
    <w:abstractNumId w:val="28"/>
  </w:num>
  <w:num w:numId="15">
    <w:abstractNumId w:val="3"/>
  </w:num>
  <w:num w:numId="16">
    <w:abstractNumId w:val="1"/>
  </w:num>
  <w:num w:numId="17">
    <w:abstractNumId w:val="25"/>
  </w:num>
  <w:num w:numId="18">
    <w:abstractNumId w:val="6"/>
  </w:num>
  <w:num w:numId="19">
    <w:abstractNumId w:val="27"/>
  </w:num>
  <w:num w:numId="20">
    <w:abstractNumId w:val="16"/>
  </w:num>
  <w:num w:numId="21">
    <w:abstractNumId w:val="12"/>
  </w:num>
  <w:num w:numId="22">
    <w:abstractNumId w:val="20"/>
  </w:num>
  <w:num w:numId="23">
    <w:abstractNumId w:val="23"/>
  </w:num>
  <w:num w:numId="24">
    <w:abstractNumId w:val="13"/>
  </w:num>
  <w:num w:numId="25">
    <w:abstractNumId w:val="0"/>
  </w:num>
  <w:num w:numId="26">
    <w:abstractNumId w:val="22"/>
  </w:num>
  <w:num w:numId="27">
    <w:abstractNumId w:val="14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0911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479A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CF961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2346-6598-4352-A1D4-8DB8B5DB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2018-02-27T16:05:00Z</dcterms:modified>
</cp:coreProperties>
</file>