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50" w:rsidRPr="000C7660" w:rsidRDefault="00CC2950" w:rsidP="00CC2950">
      <w:pPr>
        <w:bidi/>
        <w:spacing w:line="240" w:lineRule="exact"/>
        <w:jc w:val="center"/>
        <w:rPr>
          <w:rFonts w:ascii="Traditional Arabic" w:eastAsia="Times New Roman" w:hAnsi="Traditional Arabic" w:cs="Traditional Arabic"/>
          <w:i/>
          <w:iCs/>
          <w:rtl/>
          <w:lang w:bidi="ar-IQ"/>
        </w:rPr>
      </w:pPr>
      <w:bookmarkStart w:id="0" w:name="_GoBack"/>
      <w:bookmarkEnd w:id="0"/>
    </w:p>
    <w:tbl>
      <w:tblPr>
        <w:tblStyle w:val="LightGrid-Accent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CC2950" w:rsidTr="00CC2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C2950" w:rsidRDefault="00CC2950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 w:rsidR="009935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99355E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 w:rsidR="00717BB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830F0C" w:rsidP="00830F0C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Linguistics</w:t>
            </w:r>
            <w:r w:rsidR="00C269AE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 /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830F0C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269AE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Year classes  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Pr="00830F0C" w:rsidRDefault="00830F0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830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C211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C211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Pr="00830F0C" w:rsidRDefault="00830F0C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830F0C" w:rsidP="00C269AE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Fourth</w:t>
            </w:r>
            <w:r w:rsidR="00C269AE"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 xml:space="preserve"> Year / Two Terms </w:t>
            </w:r>
            <w:r w:rsidR="00C269AE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830F0C" w:rsidP="00C269AE">
            <w:pPr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Students' awareness of the basics of Linguistics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269AE" w:rsidP="00830F0C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Students' </w:t>
            </w:r>
            <w:r w:rsidR="00830F0C">
              <w:rPr>
                <w:rFonts w:ascii="Times New Roman" w:eastAsia="Times New Roman" w:hAnsi="Times New Roman" w:cs="Times New Roman"/>
                <w:sz w:val="18"/>
                <w:szCs w:val="18"/>
              </w:rPr>
              <w:t>awareness of the components and properties of language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9415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 in English language/College of Arts</w:t>
            </w:r>
            <w:r w:rsidR="00AF6B12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 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9415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IQ"/>
              </w:rPr>
              <w:t>English language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094153" w:rsidP="00A92B25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College of Arts , Department of English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94153" w:rsidP="00830F0C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Abbas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Lutfi</w:t>
            </w:r>
            <w:proofErr w:type="spellEnd"/>
            <w:r w:rsidR="00830F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Hussein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09415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Department of English, Scientific Committee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CC2950" w:rsidRDefault="00CC2950" w:rsidP="00CC2950">
            <w:pPr>
              <w:keepNext/>
              <w:numPr>
                <w:ilvl w:val="0"/>
                <w:numId w:val="2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99355E">
              <w:rPr>
                <w:rFonts w:ascii="Times New Roman" w:hAnsi="Times New Roman" w:hint="cs"/>
                <w:rtl/>
              </w:rPr>
              <w:t>: (</w:t>
            </w:r>
            <w:r w:rsidR="0099355E" w:rsidRPr="0099355E">
              <w:rPr>
                <w:rFonts w:ascii="Times New Roman" w:hAnsi="Times New Roman"/>
              </w:rPr>
              <w:t>Course description</w:t>
            </w:r>
            <w:r w:rsidR="0099355E" w:rsidRPr="0099355E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92B25" w:rsidRDefault="00A92B25" w:rsidP="00A92B25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/>
                <w:b w:val="0"/>
                <w:bCs w:val="0"/>
                <w:rtl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</w:rPr>
              <w:t>:</w:t>
            </w:r>
          </w:p>
          <w:p w:rsidR="00AF6B12" w:rsidRPr="00CB4372" w:rsidRDefault="0099355E" w:rsidP="00CB43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</w:pPr>
            <w:r w:rsidRPr="0099355E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  <w:rtl/>
              </w:rPr>
              <w:t xml:space="preserve">     </w:t>
            </w:r>
            <w:r w:rsidR="00094153">
              <w:rPr>
                <w:rFonts w:ascii="Bookman Old Style" w:hAnsi="Bookman Old Style"/>
                <w:color w:val="000000"/>
                <w:sz w:val="18"/>
                <w:szCs w:val="18"/>
                <w:shd w:val="clear" w:color="auto" w:fill="FFFFFF"/>
              </w:rPr>
              <w:t xml:space="preserve">     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Linguistics </w:t>
            </w:r>
            <w:r w:rsidR="00094153" w:rsidRPr="005F4A54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of the 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30F0C" w:rsidRP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4153" w:rsidRPr="005F4A54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year classes focuses on teaching students the basic notions 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and fundamental properties </w:t>
            </w:r>
            <w:r w:rsidR="00094153" w:rsidRPr="005F4A54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of 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language,</w:t>
            </w:r>
            <w:r w:rsidR="00094153" w:rsidRPr="005F4A54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This course involves ten chapters ( 11- 20 ). They go round topics such as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094153" w:rsidRPr="005F4A54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What is linguistics, Sounds of </w:t>
            </w:r>
            <w:proofErr w:type="gramStart"/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language ,</w:t>
            </w:r>
            <w:proofErr w:type="gramEnd"/>
            <w:r w:rsidR="00830F0C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 xml:space="preserve"> Morphology and Syntax of language , Semantics , Pragmatics , Discourse analysis , First and Second language acquisition, social variations in language, and Language change.   </w:t>
            </w:r>
          </w:p>
          <w:p w:rsidR="00A92B25" w:rsidRDefault="00A92B25" w:rsidP="00A92B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99355E">
            <w:pPr>
              <w:keepNext/>
              <w:numPr>
                <w:ilvl w:val="0"/>
                <w:numId w:val="2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 w:rsidR="0099355E">
              <w:rPr>
                <w:rFonts w:ascii="Times New Roman" w:hAnsi="Times New Roman"/>
                <w:sz w:val="24"/>
                <w:szCs w:val="24"/>
              </w:rPr>
              <w:t>outcomes</w:t>
            </w:r>
            <w:r w:rsidR="0099355E"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 w:rsidP="00921A0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bookmarkStart w:id="3" w:name="_Toc399617526"/>
            <w:r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830F0C" w:rsidRPr="005F4A54" w:rsidRDefault="00830F0C" w:rsidP="00830F0C">
            <w:pPr>
              <w:keepNext/>
              <w:bidi/>
              <w:ind w:left="180"/>
              <w:jc w:val="right"/>
              <w:outlineLvl w:val="2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Upon its completion, the cour</w:t>
            </w:r>
            <w:r w:rsidR="00CB4372">
              <w:rPr>
                <w:rFonts w:ascii="Times New Roman" w:hAnsi="Times New Roman"/>
                <w:sz w:val="24"/>
                <w:szCs w:val="24"/>
                <w:lang w:bidi="ar-IQ"/>
              </w:rPr>
              <w:t>se aims at the following points:</w:t>
            </w:r>
          </w:p>
          <w:p w:rsidR="00CC2950" w:rsidRPr="005F4A54" w:rsidRDefault="001A5362" w:rsidP="00CB43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  <w:rtl/>
                <w:lang w:bidi="ar-YE"/>
              </w:rPr>
            </w:pPr>
            <w:r w:rsidRPr="005F4A54">
              <w:rPr>
                <w:rFonts w:ascii="Times New Roman" w:hAnsi="Times New Roman"/>
                <w:sz w:val="24"/>
                <w:szCs w:val="24"/>
                <w:lang w:bidi="ar-IQ"/>
              </w:rPr>
              <w:t>S</w:t>
            </w:r>
            <w:r w:rsidRPr="005F4A54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tudents </w:t>
            </w:r>
            <w:r w:rsidR="00EB5FE3" w:rsidRPr="005F4A54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of the Department of English </w:t>
            </w:r>
            <w:r w:rsidRPr="005F4A54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are </w:t>
            </w:r>
            <w:r w:rsidR="00CB4372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able to </w:t>
            </w:r>
            <w:r w:rsidR="003C1A44" w:rsidRPr="005F4A54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gain </w:t>
            </w:r>
            <w:r w:rsidR="00CB4372">
              <w:rPr>
                <w:rFonts w:ascii="Times New Roman" w:hAnsi="Times New Roman"/>
                <w:sz w:val="24"/>
                <w:szCs w:val="24"/>
                <w:lang w:bidi="ar-YE"/>
              </w:rPr>
              <w:t>more</w:t>
            </w:r>
            <w:r w:rsidR="003C1A44" w:rsidRPr="005F4A54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 knowledge about </w:t>
            </w:r>
            <w:r w:rsidR="00CB4372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the properties of languages in general and English language in particular.  </w:t>
            </w:r>
          </w:p>
          <w:p w:rsidR="00CB4372" w:rsidRPr="00CB4372" w:rsidRDefault="00EB5FE3" w:rsidP="00CB43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sz w:val="24"/>
                <w:szCs w:val="24"/>
                <w:lang w:bidi="ar-IQ"/>
              </w:rPr>
            </w:pPr>
            <w:r w:rsidRPr="00CB4372">
              <w:rPr>
                <w:rFonts w:ascii="Times New Roman" w:hAnsi="Times New Roman"/>
                <w:sz w:val="24"/>
                <w:szCs w:val="24"/>
                <w:lang w:bidi="ar-YE"/>
              </w:rPr>
              <w:t>They</w:t>
            </w:r>
            <w:r w:rsidR="008000EE" w:rsidRPr="00CB4372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 are able to</w:t>
            </w:r>
            <w:r w:rsidRPr="00CB4372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 </w:t>
            </w:r>
            <w:r w:rsidR="00CB4372" w:rsidRPr="00CB4372">
              <w:rPr>
                <w:rFonts w:ascii="Times New Roman" w:hAnsi="Times New Roman"/>
                <w:sz w:val="24"/>
                <w:szCs w:val="24"/>
                <w:lang w:bidi="ar-YE"/>
              </w:rPr>
              <w:t xml:space="preserve">acquaint themselves with </w:t>
            </w:r>
            <w:r w:rsidR="00CB4372">
              <w:rPr>
                <w:rFonts w:ascii="Times New Roman" w:hAnsi="Times New Roman"/>
                <w:sz w:val="24"/>
                <w:szCs w:val="24"/>
                <w:lang w:bidi="ar-IQ"/>
              </w:rPr>
              <w:t>the theoretical</w:t>
            </w:r>
            <w:r w:rsidR="00CB4372" w:rsidRPr="00CB4372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and</w:t>
            </w:r>
            <w:r w:rsidR="00CB4372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practical sides of linguistics</w:t>
            </w:r>
            <w:r w:rsidR="00CB4372" w:rsidRPr="00CB4372">
              <w:rPr>
                <w:rFonts w:ascii="Times New Roman" w:hAnsi="Times New Roman"/>
                <w:sz w:val="24"/>
                <w:szCs w:val="24"/>
                <w:lang w:bidi="ar-IQ"/>
              </w:rPr>
              <w:t>.</w:t>
            </w:r>
          </w:p>
          <w:p w:rsidR="00EE2BBF" w:rsidRDefault="00EB5FE3" w:rsidP="00CB437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7" w:hanging="357"/>
              <w:rPr>
                <w:rFonts w:ascii="Times New Roman" w:hAnsi="Times New Roman"/>
                <w:rtl/>
                <w:lang w:bidi="ar-IQ"/>
              </w:rPr>
            </w:pPr>
            <w:proofErr w:type="gramStart"/>
            <w:r w:rsidRPr="00CB4372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They  </w:t>
            </w:r>
            <w:r w:rsidR="00CB4372">
              <w:rPr>
                <w:rFonts w:ascii="Times New Roman" w:hAnsi="Times New Roman"/>
                <w:sz w:val="24"/>
                <w:szCs w:val="24"/>
                <w:lang w:bidi="ar-IQ"/>
              </w:rPr>
              <w:t>are</w:t>
            </w:r>
            <w:proofErr w:type="gramEnd"/>
            <w:r w:rsidR="00CB4372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able to obtain more knowledge about the basic components of linguistics , involving phonetics &amp; phonology , morphology &amp;syntax , semantics and pragmatics as well as first and second language acquisition. </w:t>
            </w:r>
            <w:r w:rsidR="005F4A54" w:rsidRPr="00CB4372">
              <w:rPr>
                <w:rFonts w:ascii="Times New Roman" w:hAnsi="Times New Roman"/>
                <w:sz w:val="24"/>
                <w:szCs w:val="24"/>
                <w:lang w:bidi="ar-IQ"/>
              </w:rPr>
              <w:t xml:space="preserve"> </w:t>
            </w:r>
          </w:p>
        </w:tc>
      </w:tr>
    </w:tbl>
    <w:p w:rsidR="00CC2950" w:rsidRDefault="00CC2950" w:rsidP="00CC2950">
      <w:pPr>
        <w:bidi/>
        <w:rPr>
          <w:vanish/>
        </w:rPr>
      </w:pPr>
    </w:p>
    <w:p w:rsidR="00EE2BBF" w:rsidRDefault="00EE2BBF">
      <w:pPr>
        <w:bidi/>
      </w:pPr>
      <w:bookmarkStart w:id="4" w:name="_Toc399617528"/>
      <w:r>
        <w:rPr>
          <w:b/>
          <w:bCs/>
        </w:rPr>
        <w:br w:type="page"/>
      </w: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4361"/>
        <w:gridCol w:w="1299"/>
        <w:gridCol w:w="1590"/>
        <w:gridCol w:w="1358"/>
        <w:gridCol w:w="17"/>
        <w:gridCol w:w="1377"/>
      </w:tblGrid>
      <w:tr w:rsidR="00CC2950" w:rsidTr="00CC2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EE2BBF" w:rsidRDefault="00CC2950" w:rsidP="00EE2BBF">
            <w:pPr>
              <w:keepNext/>
              <w:numPr>
                <w:ilvl w:val="0"/>
                <w:numId w:val="2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كتابة</w:t>
            </w:r>
            <w:r w:rsidRPr="00EE2BBF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أولا: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الجانب النظري                                                        </w:t>
            </w:r>
          </w:p>
        </w:tc>
      </w:tr>
      <w:tr w:rsidR="00772120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55291A" w:rsidP="0055291A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CC2950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المساق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C2950" w:rsidRDefault="00CC2950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C2950" w:rsidRDefault="00CC2950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772120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5F4A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Introduction to main concepts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Pr="00921A09" w:rsidRDefault="00CB437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2120" w:rsidRPr="00772120" w:rsidRDefault="00673E0C" w:rsidP="00772120">
            <w:pPr>
              <w:bidi/>
              <w:ind w:left="13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-</w:t>
            </w: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222F5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B437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2120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CC2950" w:rsidRPr="005F4A54" w:rsidRDefault="005F4A54" w:rsidP="005F4A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lang w:bidi="ar-IQ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Unit 11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Pr="0055291A" w:rsidRDefault="00CB43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222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B43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772120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Pr="005F4A54" w:rsidRDefault="005F4A54" w:rsidP="005F4A5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Unit 12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B4372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CC295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222F5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C2950" w:rsidRDefault="007143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772120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55291A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EE2BBF" w:rsidRPr="005F4A54" w:rsidRDefault="005F4A54" w:rsidP="005F4A5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Unit 13                               </w:t>
            </w:r>
            <w:r w:rsidR="007D13EE" w:rsidRPr="007D13EE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D13EE">
              <w:rPr>
                <w:rFonts w:ascii="Andalus" w:hAnsi="Andalus" w:cs="Andalus"/>
                <w:sz w:val="28"/>
                <w:szCs w:val="28"/>
              </w:rPr>
              <w:t xml:space="preserve">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CB437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EE2BB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222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2BBF" w:rsidRDefault="007143D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772120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476B40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0C7660" w:rsidRPr="005F4A54" w:rsidRDefault="005F4A54" w:rsidP="005F4A5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rtl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Unit 14                                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0C7660" w:rsidRDefault="00CB4372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0C7660" w:rsidRDefault="000C7660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D619EB" w:rsidRDefault="00222F56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Pr="00D619EB" w:rsidRDefault="007143DB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D619EB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Default="00E7333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D619EB" w:rsidRPr="00D619EB" w:rsidRDefault="00D619EB" w:rsidP="00222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 w:rsidRPr="00D619EB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First exam (</w:t>
            </w:r>
            <w:r w:rsidR="00222F56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Pr="00D619EB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 marks)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CB4372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0C7660" w:rsidRDefault="00D619EB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D619EB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7143DB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</w:tr>
      <w:tr w:rsidR="00D619EB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Default="00E73332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D619EB" w:rsidRPr="00D619EB" w:rsidRDefault="00222F56" w:rsidP="00D619E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Unit 15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CB4372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0C7660" w:rsidRDefault="00D619EB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222F56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7143DB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D619EB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Default="00E73332" w:rsidP="00D619EB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D619EB" w:rsidRPr="00D619EB" w:rsidRDefault="00222F56" w:rsidP="00222F5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Unit 16                               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CB4372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0C7660" w:rsidRDefault="00D619EB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222F56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7143DB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D619EB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Default="00E73332" w:rsidP="00D619EB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D619EB" w:rsidRPr="00D619EB" w:rsidRDefault="00222F56" w:rsidP="00222F5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Unit 17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CB4372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0C7660" w:rsidRDefault="00D619EB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222F56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19EB" w:rsidRPr="00D619EB" w:rsidRDefault="007143DB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C907BA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D619EB" w:rsidRDefault="00C907BA" w:rsidP="00222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 w:rsidRPr="00386910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Second exam (</w:t>
            </w:r>
            <w:r w:rsidR="00222F56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Pr="00386910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 marks)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B4372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B4372" w:rsidP="000C70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</w:tr>
      <w:tr w:rsidR="00C907BA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386910" w:rsidRDefault="00222F56" w:rsidP="00222F56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Unit 18                              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222F56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0C70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C907BA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386910" w:rsidRDefault="00222F56" w:rsidP="00222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Unit 19</w:t>
            </w:r>
            <w:r>
              <w:rPr>
                <w:rFonts w:ascii="Trebuchet MS" w:hAnsi="Trebuchet MS" w:hint="cs"/>
                <w:color w:val="000000"/>
                <w:sz w:val="18"/>
                <w:szCs w:val="18"/>
                <w:shd w:val="clear" w:color="auto" w:fill="FFFFFF"/>
                <w:rtl/>
                <w:lang w:bidi="ar-IQ"/>
              </w:rPr>
              <w:t xml:space="preserve">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222F56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0C70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C907BA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386910" w:rsidRDefault="00222F56" w:rsidP="0038691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Unit 20</w:t>
            </w:r>
            <w:r w:rsidR="00C907BA" w:rsidRPr="00386910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222F56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0C70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C907BA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386910" w:rsidRDefault="00222F56" w:rsidP="0038691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Third exam ( 20 marks)</w:t>
            </w:r>
            <w:r w:rsidR="00C907BA" w:rsidRPr="00386910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907BA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0C70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</w:tr>
      <w:tr w:rsidR="00C907BA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386910" w:rsidRDefault="00222F56" w:rsidP="00222F5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Revision</w:t>
            </w:r>
            <w:r w:rsidR="00C907BA" w:rsidRPr="00386910"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222F56" w:rsidP="00226FF1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0C7026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C907BA" w:rsidTr="00386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Default="00C907BA" w:rsidP="000C7026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2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907BA" w:rsidRPr="00386910" w:rsidRDefault="00222F56" w:rsidP="00222F5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18"/>
                <w:szCs w:val="18"/>
                <w:shd w:val="clear" w:color="auto" w:fill="FFFFFF"/>
              </w:rPr>
              <w:t>Preparation for the final exam</w:t>
            </w:r>
          </w:p>
        </w:tc>
        <w:tc>
          <w:tcPr>
            <w:tcW w:w="6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0C7660" w:rsidRDefault="00C907BA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222F56" w:rsidP="00226FF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07BA" w:rsidRPr="00D619EB" w:rsidRDefault="00CB4372" w:rsidP="000C702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E73332" w:rsidTr="00386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C7660" w:rsidRDefault="000C7660" w:rsidP="00CB4372">
            <w:pPr>
              <w:bidi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  <w:r w:rsidR="00222F56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                                         </w:t>
            </w:r>
            <w:r w:rsidR="00D05326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CB4372">
              <w:rPr>
                <w:rFonts w:ascii="Times New Roman" w:hAnsi="Times New Roman" w:hint="cs"/>
                <w:sz w:val="24"/>
                <w:szCs w:val="24"/>
                <w:rtl/>
              </w:rPr>
              <w:t>32</w:t>
            </w:r>
            <w:r w:rsidR="00222F56">
              <w:rPr>
                <w:rFonts w:ascii="Times New Roman" w:hAnsi="Times New Roman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7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0C7660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7143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660" w:rsidRDefault="007143DB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60</w:t>
            </w:r>
          </w:p>
        </w:tc>
      </w:tr>
    </w:tbl>
    <w:p w:rsidR="00CC2950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CC2950" w:rsidTr="00CC2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60D24" w:rsidRPr="00060D24" w:rsidRDefault="00CC2950" w:rsidP="00060D24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CC2950" w:rsidTr="00CC29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129C" w:rsidRDefault="00060D24" w:rsidP="007143DB">
            <w:pPr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The topic </w:t>
            </w:r>
            <w:r w:rsidR="002C6557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is </w:t>
            </w:r>
            <w:r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assigned for</w:t>
            </w:r>
            <w:r w:rsidR="002C6557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presenting the basic notions of </w:t>
            </w:r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linguistics</w:t>
            </w:r>
            <w:r w:rsidR="002C6557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.</w:t>
            </w:r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</w:t>
            </w:r>
            <w:r w:rsidR="002C6557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At the end of the course, students are able to </w:t>
            </w:r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get more knowledge about linguistic issues. First, the students are asked to prepare material at home before coming to classes. Second I start writing the main topics on the </w:t>
            </w:r>
            <w:proofErr w:type="gramStart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board .</w:t>
            </w:r>
            <w:proofErr w:type="gramEnd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Third, I ask students some questions related to the given topic as a matter of </w:t>
            </w:r>
            <w:proofErr w:type="gramStart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discussion .</w:t>
            </w:r>
            <w:proofErr w:type="gramEnd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Fourth, I add some explanations to what the students offer focusing on the essential </w:t>
            </w:r>
            <w:proofErr w:type="gramStart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points .</w:t>
            </w:r>
            <w:proofErr w:type="gramEnd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At the end of the lecture, I ask them to prepare what has been taken for the next </w:t>
            </w:r>
            <w:proofErr w:type="gramStart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>lecture .</w:t>
            </w:r>
            <w:proofErr w:type="gramEnd"/>
            <w:r w:rsidR="007143DB"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  <w:t xml:space="preserve"> Each lecture I recall the students of the previous one.</w:t>
            </w:r>
          </w:p>
        </w:tc>
      </w:tr>
    </w:tbl>
    <w:p w:rsidR="00CC2950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CC2950" w:rsidTr="00CC29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 w:rsidP="00CC2950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0" w:rsidRDefault="007143DB" w:rsidP="005A3029">
            <w:pPr>
              <w:numPr>
                <w:ilvl w:val="0"/>
                <w:numId w:val="11"/>
              </w:numPr>
              <w:tabs>
                <w:tab w:val="right" w:pos="142"/>
              </w:tabs>
              <w:ind w:left="470" w:hanging="35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Yule</w:t>
            </w:r>
            <w:r w:rsidR="005A3029">
              <w:rPr>
                <w:rFonts w:ascii="Times New Roman" w:hAnsi="Times New Roman"/>
              </w:rPr>
              <w:t xml:space="preserve">, George (2010) </w:t>
            </w:r>
            <w:proofErr w:type="gramStart"/>
            <w:r w:rsidR="005A3029" w:rsidRPr="005A3029">
              <w:rPr>
                <w:rFonts w:ascii="Times New Roman" w:hAnsi="Times New Roman"/>
                <w:i/>
                <w:iCs/>
              </w:rPr>
              <w:t>The</w:t>
            </w:r>
            <w:proofErr w:type="gramEnd"/>
            <w:r w:rsidR="005A3029" w:rsidRPr="005A3029">
              <w:rPr>
                <w:rFonts w:ascii="Times New Roman" w:hAnsi="Times New Roman"/>
                <w:i/>
                <w:iCs/>
              </w:rPr>
              <w:t xml:space="preserve"> Study of Language</w:t>
            </w:r>
            <w:r w:rsidR="005A3029">
              <w:rPr>
                <w:rFonts w:ascii="Times New Roman" w:hAnsi="Times New Roman"/>
              </w:rPr>
              <w:t>, Fourth Edition. Cambridge: CUP.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 w:rsidP="00CC2950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0" w:rsidRDefault="005A3029" w:rsidP="001763FB">
            <w:pPr>
              <w:numPr>
                <w:ilvl w:val="0"/>
                <w:numId w:val="12"/>
              </w:numPr>
              <w:ind w:left="470" w:hanging="357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bidi="ar-IQ"/>
              </w:rPr>
              <w:t>Aitchison</w:t>
            </w:r>
            <w:proofErr w:type="spellEnd"/>
            <w:r>
              <w:rPr>
                <w:rFonts w:ascii="Times New Roman" w:hAnsi="Times New Roman"/>
                <w:lang w:bidi="ar-IQ"/>
              </w:rPr>
              <w:t xml:space="preserve">, J. </w:t>
            </w:r>
            <w:proofErr w:type="gramStart"/>
            <w:r>
              <w:rPr>
                <w:rFonts w:ascii="Times New Roman" w:hAnsi="Times New Roman"/>
                <w:lang w:bidi="ar-IQ"/>
              </w:rPr>
              <w:t>( 2006</w:t>
            </w:r>
            <w:proofErr w:type="gramEnd"/>
            <w:r>
              <w:rPr>
                <w:rFonts w:ascii="Times New Roman" w:hAnsi="Times New Roman"/>
                <w:lang w:bidi="ar-IQ"/>
              </w:rPr>
              <w:t xml:space="preserve">) Linguistics" Teach Yourself. </w:t>
            </w:r>
          </w:p>
          <w:p w:rsidR="001D7307" w:rsidRDefault="001D7307" w:rsidP="001D7307">
            <w:pPr>
              <w:numPr>
                <w:ilvl w:val="0"/>
                <w:numId w:val="12"/>
              </w:numPr>
              <w:ind w:left="470" w:hanging="357"/>
              <w:contextualSpacing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/>
              </w:rPr>
              <w:t xml:space="preserve">Crystal, D. (2010 ) Dictionary of Linguistics and Phonetics </w:t>
            </w:r>
          </w:p>
          <w:p w:rsidR="00CC2950" w:rsidRDefault="00CC2950" w:rsidP="001763FB">
            <w:pPr>
              <w:bidi/>
              <w:ind w:left="360"/>
              <w:contextualSpacing/>
              <w:rPr>
                <w:rFonts w:ascii="Times New Roman" w:hAnsi="Times New Roman"/>
              </w:rPr>
            </w:pP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0" w:rsidRDefault="00CC2950" w:rsidP="00CC2950">
            <w:pPr>
              <w:numPr>
                <w:ilvl w:val="3"/>
                <w:numId w:val="10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CC2950" w:rsidTr="00CC29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307" w:rsidRDefault="001D7307" w:rsidP="001D7307">
            <w:pPr>
              <w:numPr>
                <w:ilvl w:val="0"/>
                <w:numId w:val="14"/>
              </w:numPr>
              <w:ind w:left="470" w:hanging="357"/>
              <w:contextualSpacing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Wikipedia </w:t>
            </w:r>
          </w:p>
          <w:p w:rsidR="00CC2950" w:rsidRDefault="005A3029" w:rsidP="005A3029">
            <w:pPr>
              <w:numPr>
                <w:ilvl w:val="0"/>
                <w:numId w:val="14"/>
              </w:numPr>
              <w:ind w:left="470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http//www.linguistics.com</w:t>
            </w:r>
          </w:p>
        </w:tc>
      </w:tr>
      <w:tr w:rsidR="00CC2950" w:rsidTr="00CC29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Default="00CC2950" w:rsidP="001D7307">
            <w:pPr>
              <w:widowControl w:val="0"/>
              <w:tabs>
                <w:tab w:val="left" w:pos="565"/>
              </w:tabs>
              <w:bidi/>
              <w:spacing w:line="500" w:lineRule="exac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2B08" w:rsidRDefault="002C2B08" w:rsidP="002C2B08">
      <w:pPr>
        <w:bidi/>
        <w:rPr>
          <w:color w:val="000000"/>
          <w:sz w:val="14"/>
          <w:szCs w:val="14"/>
          <w:lang w:bidi="ar-IQ"/>
        </w:rPr>
      </w:pPr>
    </w:p>
    <w:sectPr w:rsidR="002C2B08" w:rsidSect="003D2880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34B2A"/>
    <w:multiLevelType w:val="hybridMultilevel"/>
    <w:tmpl w:val="4C7A3BD2"/>
    <w:lvl w:ilvl="0" w:tplc="177EBAB6">
      <w:start w:val="24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20FC7"/>
    <w:multiLevelType w:val="hybridMultilevel"/>
    <w:tmpl w:val="35AA02C2"/>
    <w:lvl w:ilvl="0" w:tplc="1CF4358A">
      <w:start w:val="3"/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6">
    <w:nsid w:val="7D1C77C9"/>
    <w:multiLevelType w:val="hybridMultilevel"/>
    <w:tmpl w:val="7F0A3858"/>
    <w:lvl w:ilvl="0" w:tplc="1786E8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42883"/>
    <w:multiLevelType w:val="hybridMultilevel"/>
    <w:tmpl w:val="367EDB22"/>
    <w:lvl w:ilvl="0" w:tplc="2FA06A22">
      <w:start w:val="24"/>
      <w:numFmt w:val="bullet"/>
      <w:lvlText w:val="-"/>
      <w:lvlJc w:val="left"/>
      <w:pPr>
        <w:ind w:left="1320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7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80"/>
    <w:rsid w:val="00005590"/>
    <w:rsid w:val="00060D24"/>
    <w:rsid w:val="00074318"/>
    <w:rsid w:val="00094153"/>
    <w:rsid w:val="000C2119"/>
    <w:rsid w:val="000C7660"/>
    <w:rsid w:val="00102FCB"/>
    <w:rsid w:val="001041A0"/>
    <w:rsid w:val="001620E0"/>
    <w:rsid w:val="001626A4"/>
    <w:rsid w:val="001763FB"/>
    <w:rsid w:val="001A4D95"/>
    <w:rsid w:val="001A5362"/>
    <w:rsid w:val="001D71DA"/>
    <w:rsid w:val="001D7307"/>
    <w:rsid w:val="001F4782"/>
    <w:rsid w:val="00222F56"/>
    <w:rsid w:val="00257886"/>
    <w:rsid w:val="00296577"/>
    <w:rsid w:val="002C0453"/>
    <w:rsid w:val="002C2B08"/>
    <w:rsid w:val="002C6557"/>
    <w:rsid w:val="002C71B7"/>
    <w:rsid w:val="00312D53"/>
    <w:rsid w:val="003461F3"/>
    <w:rsid w:val="00386910"/>
    <w:rsid w:val="003C1A44"/>
    <w:rsid w:val="003D2880"/>
    <w:rsid w:val="00476B40"/>
    <w:rsid w:val="00476F1C"/>
    <w:rsid w:val="00496AB5"/>
    <w:rsid w:val="004B7E9E"/>
    <w:rsid w:val="00502063"/>
    <w:rsid w:val="00515B81"/>
    <w:rsid w:val="00521852"/>
    <w:rsid w:val="0055291A"/>
    <w:rsid w:val="005A3029"/>
    <w:rsid w:val="005F4A54"/>
    <w:rsid w:val="00601FDA"/>
    <w:rsid w:val="00657F15"/>
    <w:rsid w:val="00673E0C"/>
    <w:rsid w:val="00692C87"/>
    <w:rsid w:val="006D4C03"/>
    <w:rsid w:val="006E041B"/>
    <w:rsid w:val="0070066F"/>
    <w:rsid w:val="007143DB"/>
    <w:rsid w:val="00717300"/>
    <w:rsid w:val="00717BBE"/>
    <w:rsid w:val="007707A3"/>
    <w:rsid w:val="00772120"/>
    <w:rsid w:val="007C129C"/>
    <w:rsid w:val="007D13EE"/>
    <w:rsid w:val="007D70CA"/>
    <w:rsid w:val="008000EE"/>
    <w:rsid w:val="00823C84"/>
    <w:rsid w:val="00830F0C"/>
    <w:rsid w:val="0083137D"/>
    <w:rsid w:val="00862E59"/>
    <w:rsid w:val="00877F45"/>
    <w:rsid w:val="008C72F0"/>
    <w:rsid w:val="00921A09"/>
    <w:rsid w:val="0099158C"/>
    <w:rsid w:val="0099355E"/>
    <w:rsid w:val="00A62CF5"/>
    <w:rsid w:val="00A92B25"/>
    <w:rsid w:val="00A933F4"/>
    <w:rsid w:val="00AF6B12"/>
    <w:rsid w:val="00B450C6"/>
    <w:rsid w:val="00B53522"/>
    <w:rsid w:val="00B90F30"/>
    <w:rsid w:val="00C20CE1"/>
    <w:rsid w:val="00C269AE"/>
    <w:rsid w:val="00C907BA"/>
    <w:rsid w:val="00CB4372"/>
    <w:rsid w:val="00CB6454"/>
    <w:rsid w:val="00CC2950"/>
    <w:rsid w:val="00CC31D2"/>
    <w:rsid w:val="00CC673E"/>
    <w:rsid w:val="00CC7DB7"/>
    <w:rsid w:val="00CD7D60"/>
    <w:rsid w:val="00D05326"/>
    <w:rsid w:val="00D56C30"/>
    <w:rsid w:val="00D619EB"/>
    <w:rsid w:val="00D756E7"/>
    <w:rsid w:val="00D813BD"/>
    <w:rsid w:val="00E41AD2"/>
    <w:rsid w:val="00E73332"/>
    <w:rsid w:val="00E94F09"/>
    <w:rsid w:val="00EB5FE3"/>
    <w:rsid w:val="00EE2BBF"/>
    <w:rsid w:val="00F1498E"/>
    <w:rsid w:val="00F35241"/>
    <w:rsid w:val="00F4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72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772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MUO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samsung</cp:lastModifiedBy>
  <cp:revision>2</cp:revision>
  <dcterms:created xsi:type="dcterms:W3CDTF">2017-10-09T22:13:00Z</dcterms:created>
  <dcterms:modified xsi:type="dcterms:W3CDTF">2017-10-09T22:13:00Z</dcterms:modified>
</cp:coreProperties>
</file>