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572021" w:rsidRPr="00572021" w:rsidRDefault="006B3B1F" w:rsidP="00572021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المحاضرة</w:t>
      </w:r>
      <w:r w:rsidR="00572021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 xml:space="preserve"> </w:t>
      </w:r>
      <w:r w:rsidR="00572021" w:rsidRPr="00572021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الثالثة والعشرون</w:t>
      </w:r>
    </w:p>
    <w:p w:rsidR="00572021" w:rsidRPr="00572021" w:rsidRDefault="00572021" w:rsidP="00572021">
      <w:pPr>
        <w:spacing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572021">
        <w:rPr>
          <w:rFonts w:asciiTheme="majorBidi" w:hAnsiTheme="majorBidi" w:cs="PT Bold Heading" w:hint="cs"/>
          <w:sz w:val="32"/>
          <w:szCs w:val="32"/>
          <w:rtl/>
          <w:lang w:bidi="ar-IQ"/>
        </w:rPr>
        <w:t>أنواع</w:t>
      </w:r>
      <w:r w:rsidRPr="0057202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النثر الفني العربي في العصر </w:t>
      </w:r>
      <w:r w:rsidRPr="00572021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الجاهلي:</w:t>
      </w:r>
    </w:p>
    <w:p w:rsidR="00572021" w:rsidRPr="00572021" w:rsidRDefault="00572021" w:rsidP="0057202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على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الرغم من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عدم وجود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أي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سجل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كتاب مدون يحتوي على نصوص النثر الجاهلي يعود تاريخه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تلك الفترة من الزمن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الغابر،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إذ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 الناس يحفظونها ويتناقلونها عن طريق الرواية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الشفاهية،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مثل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الشعر،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وهذا ربما سبب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قلتها،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وكذا موقف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الإسلام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بعضها،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وبالرغم من ذلك فان الدارسين المحققين لهذا التراث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العربي ذكروا من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أنواع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النثر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تلك الفترة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572021" w:rsidRPr="00572021" w:rsidRDefault="00572021" w:rsidP="00572021">
      <w:pPr>
        <w:numPr>
          <w:ilvl w:val="0"/>
          <w:numId w:val="19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720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الخطابة  2- القصص 3- </w:t>
      </w:r>
      <w:r w:rsidRPr="0057202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الأمثال</w:t>
      </w:r>
      <w:r w:rsidRPr="005720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4- الحكم  5- الوصايا  6- السجع </w:t>
      </w:r>
    </w:p>
    <w:p w:rsidR="00572021" w:rsidRPr="00572021" w:rsidRDefault="00572021" w:rsidP="00572021">
      <w:pPr>
        <w:numPr>
          <w:ilvl w:val="0"/>
          <w:numId w:val="20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572021">
        <w:rPr>
          <w:rFonts w:asciiTheme="majorBidi" w:hAnsiTheme="majorBidi" w:cs="PT Bold Heading" w:hint="cs"/>
          <w:sz w:val="32"/>
          <w:szCs w:val="32"/>
          <w:rtl/>
          <w:lang w:bidi="ar-IQ"/>
        </w:rPr>
        <w:t>الخطابة:</w:t>
      </w:r>
    </w:p>
    <w:p w:rsidR="00572021" w:rsidRPr="00572021" w:rsidRDefault="00572021" w:rsidP="0057202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من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أقدم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فنون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النثر،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لأنها تعتمد على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المشافهة،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فن مخاطبة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الجماهير،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بغية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الإقناع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والإمتاع،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وجذب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انتباههم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وتحريك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مشاعرهم،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وذلك يقتضي من الخطيب تنوع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الأسلوب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وجودة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الإلقاء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وتحسين الصوت ونطق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الإشارة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بكلام بليغ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وجيز،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قطعة من النثر الرفيع قد تطول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تقصر حسب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الحاجة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لها،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لأنها فن مخاطبة الجمهور بأسلوب يعتمد على الاستمالة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والإقناع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فيقوم على مخاطبة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العقل،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وذلك يقتضي من الخطيب ضرب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الأمثلة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وتقديم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الأدلة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والبراهين التي تقنع السامعين </w:t>
      </w:r>
    </w:p>
    <w:p w:rsidR="00572021" w:rsidRPr="00572021" w:rsidRDefault="00572021" w:rsidP="0057202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- </w:t>
      </w:r>
      <w:r w:rsidRPr="005720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من </w:t>
      </w:r>
      <w:r w:rsidRPr="0057202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أقسام</w:t>
      </w:r>
      <w:r w:rsidRPr="005720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أو</w:t>
      </w:r>
      <w:r w:rsidRPr="005720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أجزاء</w:t>
      </w:r>
      <w:r w:rsidRPr="005720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الخطبة: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المقدمة – والموضوع – والخاتمة </w:t>
      </w:r>
    </w:p>
    <w:p w:rsidR="00572021" w:rsidRPr="00572021" w:rsidRDefault="00572021" w:rsidP="0057202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- </w:t>
      </w:r>
      <w:r w:rsidRPr="005720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ومن </w:t>
      </w:r>
      <w:r w:rsidRPr="0057202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أهداف</w:t>
      </w:r>
      <w:r w:rsidRPr="005720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الخطبة: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الإفهام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والإقناع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والإمتاع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والاستمالة </w:t>
      </w:r>
    </w:p>
    <w:p w:rsidR="00572021" w:rsidRPr="00572021" w:rsidRDefault="00572021" w:rsidP="00572021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72021">
        <w:rPr>
          <w:rFonts w:asciiTheme="majorBidi" w:hAnsiTheme="majorBidi" w:cs="PT Bold Heading"/>
          <w:sz w:val="32"/>
          <w:szCs w:val="32"/>
          <w:rtl/>
          <w:lang w:bidi="ar-IQ"/>
        </w:rPr>
        <w:t>مميزات الخطبة</w:t>
      </w:r>
      <w:r w:rsidRPr="005720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572021" w:rsidRPr="00572021" w:rsidRDefault="00572021" w:rsidP="00572021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تمتاز بها عن غيرها من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الفنون،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لذلك لا نستغرب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يتحدث الجاحظ عن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وجودها،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ومنها: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لها تقاليد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فنية،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وبنيوية،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وسمات،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ولها زي معين وهيأة تمثيلية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للخطيب،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وأصول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المعاملة كما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أنها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تستدعي احتشاد الناس من وجهاء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القوم،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ولها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أماكن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القاء هي نفسها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أماكن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التجمعات الكبرى (مضارب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الخيام،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ساحات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النزول،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مجالس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اسمر،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الأسواق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>)</w:t>
      </w:r>
    </w:p>
    <w:p w:rsidR="00572021" w:rsidRPr="00572021" w:rsidRDefault="00572021" w:rsidP="0057202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7202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خصائص </w:t>
      </w:r>
      <w:r w:rsidRPr="00572021">
        <w:rPr>
          <w:rFonts w:asciiTheme="majorBidi" w:hAnsiTheme="majorBidi" w:cs="PT Bold Heading" w:hint="cs"/>
          <w:sz w:val="32"/>
          <w:szCs w:val="32"/>
          <w:rtl/>
          <w:lang w:bidi="ar-IQ"/>
        </w:rPr>
        <w:t>أسلوب</w:t>
      </w:r>
      <w:r w:rsidRPr="0057202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="PT Bold Heading" w:hint="cs"/>
          <w:sz w:val="32"/>
          <w:szCs w:val="32"/>
          <w:rtl/>
          <w:lang w:bidi="ar-IQ"/>
        </w:rPr>
        <w:t>الخطبة:</w:t>
      </w:r>
    </w:p>
    <w:p w:rsidR="00572021" w:rsidRPr="00572021" w:rsidRDefault="00572021" w:rsidP="00572021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قصر الجمل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والفقرات،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وجودة العبارة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والمعاني،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وشدة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الإقناع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والتأثير،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والسهولة ووضوح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الفكرة،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وجمال التعبير وسلامة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الألفاظ،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والتنوع في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الأسلوب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بين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الإنشائي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والخبري،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وقلة الصور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البيانية،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وبالإكثار</w:t>
      </w:r>
      <w:r w:rsidRPr="005720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السجع غير </w:t>
      </w:r>
      <w:r w:rsidRPr="00572021">
        <w:rPr>
          <w:rFonts w:asciiTheme="majorBidi" w:hAnsiTheme="majorBidi" w:cstheme="majorBidi" w:hint="cs"/>
          <w:sz w:val="32"/>
          <w:szCs w:val="32"/>
          <w:rtl/>
          <w:lang w:bidi="ar-IQ"/>
        </w:rPr>
        <w:t>المكلف.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sectPr w:rsidR="00AE6EFE" w:rsidRPr="00AE6EFE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02" w:rsidRDefault="00270B02" w:rsidP="00561D64">
      <w:pPr>
        <w:spacing w:after="0" w:line="240" w:lineRule="auto"/>
      </w:pPr>
      <w:r>
        <w:separator/>
      </w:r>
    </w:p>
  </w:endnote>
  <w:endnote w:type="continuationSeparator" w:id="0">
    <w:p w:rsidR="00270B02" w:rsidRDefault="00270B02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572021" w:rsidRPr="00572021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02" w:rsidRDefault="00270B02" w:rsidP="00561D64">
      <w:pPr>
        <w:spacing w:after="0" w:line="240" w:lineRule="auto"/>
      </w:pPr>
      <w:r>
        <w:separator/>
      </w:r>
    </w:p>
  </w:footnote>
  <w:footnote w:type="continuationSeparator" w:id="0">
    <w:p w:rsidR="00270B02" w:rsidRDefault="00270B02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820869A"/>
    <w:lvl w:ilvl="0" w:tplc="244A87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0B02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72021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058B1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A68B1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A79D3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C292-C6C6-466D-BB56-6DB6C991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19</cp:revision>
  <cp:lastPrinted>2018-02-15T10:20:00Z</cp:lastPrinted>
  <dcterms:created xsi:type="dcterms:W3CDTF">2018-01-19T21:48:00Z</dcterms:created>
  <dcterms:modified xsi:type="dcterms:W3CDTF">2018-02-27T15:43:00Z</dcterms:modified>
</cp:coreProperties>
</file>