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913744" w:rsidRDefault="006B3B1F" w:rsidP="00367B2F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367B2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العشرون</w:t>
      </w:r>
    </w:p>
    <w:p w:rsidR="00367B2F" w:rsidRPr="00367B2F" w:rsidRDefault="00367B2F" w:rsidP="00367B2F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67B2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الخصائص </w:t>
      </w:r>
      <w:r w:rsidRPr="00367B2F">
        <w:rPr>
          <w:rFonts w:asciiTheme="majorBidi" w:hAnsiTheme="majorBidi" w:cs="PT Bold Heading" w:hint="cs"/>
          <w:sz w:val="32"/>
          <w:szCs w:val="32"/>
          <w:rtl/>
          <w:lang w:bidi="ar-IQ"/>
        </w:rPr>
        <w:t>اللغوية:</w:t>
      </w:r>
      <w:r w:rsidRPr="00367B2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367B2F" w:rsidRPr="00367B2F" w:rsidRDefault="00367B2F" w:rsidP="00367B2F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حين ننظر في مجموعة شعر الصعاليك لنتبين خصائصها اللغوية فان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أول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نلاحظه على لغتهم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هي اللغة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الأدبية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عرفها العصر الجاهلي بكل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ما نعرفه عن هذه اللغة من خصائص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وهذه ظاهرة طبيعية ليس من الصعب تعليلها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فان الشعراء الصعاليك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مهما يبلغ بهم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الأمر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الخروج على تقاليد مجتمعهم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ناحية موضوعات شعرهم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معانيه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خصائصهم الفنية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فما هم بقادرين في الخروج عليه من ناحية لغتهم؛ لان هذا الجانب اللغوي هو العامل المشترك بينهم وبينه , والوسيلة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الأساسية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للتفاهم بينهم وبين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أفراده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بعبارة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"العملة" التي انفق المجتمع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التبادل الفكري بين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أفراده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جميعا سواء منهم المتوافقون معه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الخارجون عليه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وبدون هذه "العملة" يصبح عمل الشعراء الصعاليك الفني عملا "مزيفا" لا يصلح للتداول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تلك الجوانب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الأخرى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العمل الفني : الموضوعات والمعاني والخصائص الفنية فأنها الجوانب الشخصية فيه التي يستطيع كل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يتصرف فيها كما يشاء .</w:t>
      </w:r>
    </w:p>
    <w:p w:rsidR="00367B2F" w:rsidRPr="00367B2F" w:rsidRDefault="00367B2F" w:rsidP="00367B2F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367B2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ظواهر </w:t>
      </w:r>
      <w:r w:rsidRPr="00367B2F">
        <w:rPr>
          <w:rFonts w:asciiTheme="majorBidi" w:hAnsiTheme="majorBidi" w:cs="PT Bold Heading" w:hint="cs"/>
          <w:sz w:val="32"/>
          <w:szCs w:val="32"/>
          <w:rtl/>
          <w:lang w:bidi="ar-IQ"/>
        </w:rPr>
        <w:t>عروضية:</w:t>
      </w:r>
    </w:p>
    <w:p w:rsidR="00367B2F" w:rsidRDefault="00367B2F" w:rsidP="00367B2F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نظرنا بعد ذلك في مجموعة شعر الصعاليك لنتبين خصائصها العروضية فأننا نلاحظ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الأوزان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صاغ فيها الشعراء الصعاليك شعرهم هي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الأوزان نفسها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عرفها سائر الشعراء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الجاهليين: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الطويل،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والبسيط،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والوافر،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والكامل،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والمتقارب،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وأمثال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هذه البحور ال</w:t>
      </w:r>
      <w:bookmarkStart w:id="0" w:name="_GoBack"/>
      <w:bookmarkEnd w:id="0"/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تي ترددت فيها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أنغام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الجاهلي.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367B2F" w:rsidRPr="00367B2F" w:rsidRDefault="00367B2F" w:rsidP="00367B2F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كما نلاحظ في شعرهم الذي جاء من بحر الطويل ذلك الزحاف الشائع في الشعر الجاهلي في هذا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البحر،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حذف ياء "مفاعيلن" ونون "فعولن" وتحول التفعيلة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"مفاعلن" و "فعول" وهو ما يسميه العرضيون "القبض" وذلك قول تأبط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شرا:</w:t>
      </w: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367B2F" w:rsidRPr="00367B2F" w:rsidRDefault="00367B2F" w:rsidP="00367B2F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67B2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تقول تركت صاحبا لك ضائعاً        وجئتَ الينا فارقاً متباطناً</w:t>
      </w:r>
    </w:p>
    <w:p w:rsidR="00367B2F" w:rsidRPr="00367B2F" w:rsidRDefault="00367B2F" w:rsidP="00367B2F">
      <w:pPr>
        <w:spacing w:before="120"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67B2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اِذا ما تركت صاحبي لثلاثة          </w:t>
      </w:r>
      <w:r w:rsidRPr="00367B2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أو</w:t>
      </w:r>
      <w:r w:rsidRPr="00367B2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اثنين مثلينا فلا </w:t>
      </w:r>
      <w:r w:rsidRPr="00367B2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أبت</w:t>
      </w:r>
      <w:r w:rsidRPr="00367B2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آمنا</w:t>
      </w:r>
    </w:p>
    <w:p w:rsidR="00367B2F" w:rsidRPr="00367B2F" w:rsidRDefault="00367B2F" w:rsidP="00367B2F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67B2F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ومثل قول </w:t>
      </w:r>
      <w:r w:rsidRPr="00367B2F">
        <w:rPr>
          <w:rFonts w:asciiTheme="majorBidi" w:hAnsiTheme="majorBidi" w:cstheme="majorBidi" w:hint="cs"/>
          <w:sz w:val="32"/>
          <w:szCs w:val="32"/>
          <w:rtl/>
          <w:lang w:bidi="ar-IQ"/>
        </w:rPr>
        <w:t>الشنفرى:</w:t>
      </w:r>
    </w:p>
    <w:p w:rsidR="00367B2F" w:rsidRPr="00367B2F" w:rsidRDefault="00367B2F" w:rsidP="00367B2F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67B2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فوا اكبدا على اُميمة بعدما          طمعت فهِبها نعمةَ العيشِ زلت</w:t>
      </w:r>
    </w:p>
    <w:p w:rsidR="00367B2F" w:rsidRPr="00367B2F" w:rsidRDefault="00367B2F" w:rsidP="00367B2F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E6EFE" w:rsidRPr="00367B2F" w:rsidRDefault="00AE6EFE" w:rsidP="00367B2F">
      <w:pPr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AE6EFE" w:rsidRPr="00367B2F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5B" w:rsidRDefault="0097705B" w:rsidP="00561D64">
      <w:pPr>
        <w:spacing w:after="0" w:line="240" w:lineRule="auto"/>
      </w:pPr>
      <w:r>
        <w:separator/>
      </w:r>
    </w:p>
  </w:endnote>
  <w:endnote w:type="continuationSeparator" w:id="0">
    <w:p w:rsidR="0097705B" w:rsidRDefault="0097705B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367B2F" w:rsidRPr="00367B2F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5B" w:rsidRDefault="0097705B" w:rsidP="00561D64">
      <w:pPr>
        <w:spacing w:after="0" w:line="240" w:lineRule="auto"/>
      </w:pPr>
      <w:r>
        <w:separator/>
      </w:r>
    </w:p>
  </w:footnote>
  <w:footnote w:type="continuationSeparator" w:id="0">
    <w:p w:rsidR="0097705B" w:rsidRDefault="0097705B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67B2F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05B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7FEAC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F60F-BAA7-42B7-8823-A8F19681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2018-02-27T14:55:00Z</dcterms:modified>
</cp:coreProperties>
</file>