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6B3B1F" w:rsidRPr="00017636" w:rsidRDefault="006B3B1F" w:rsidP="00913744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913744" w:rsidRPr="00913744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الثالثة</w:t>
      </w:r>
    </w:p>
    <w:p w:rsidR="00913744" w:rsidRPr="00913744" w:rsidRDefault="00913744" w:rsidP="00913744">
      <w:pPr>
        <w:spacing w:before="120"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1374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مرحلة </w:t>
      </w:r>
      <w:r w:rsidRPr="00913744">
        <w:rPr>
          <w:rFonts w:asciiTheme="majorBidi" w:hAnsiTheme="majorBidi" w:cs="PT Bold Heading" w:hint="cs"/>
          <w:sz w:val="32"/>
          <w:szCs w:val="32"/>
          <w:rtl/>
          <w:lang w:bidi="ar-IQ"/>
        </w:rPr>
        <w:t>النشأة:</w:t>
      </w:r>
    </w:p>
    <w:p w:rsidR="00913744" w:rsidRPr="00913744" w:rsidRDefault="00913744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تباينت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آ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راء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العلماء والنقاد قدماء ومحدثين حول ملامح المرحلة التي سبقت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المقطعات،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اتفقت على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تمثل مرحلة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النشأة،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البداية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الأولى.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913744" w:rsidRPr="00913744" w:rsidRDefault="00913744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فقد قال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بعضهم: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السجع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أصل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العربي،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وانه لم يتطور مباشرة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شكل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القصيدة،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تطور في البداية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مقطعات قصيرة للغاية كلها على وزن بحر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الرجز،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وعلى هذا القول يمكن القول بأن الرجز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أول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أشكال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 العربي التي ظهرت وهو امر تؤيده الشواهد الشعرية التي جاءت كلها على بحر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الرجز.</w:t>
      </w:r>
    </w:p>
    <w:p w:rsidR="00913744" w:rsidRPr="00913744" w:rsidRDefault="00913744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من المعروف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الرجز يتكون من شطرات - هي بمثابة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الجمل،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أجزاء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الجمل – وان كل شطرة منها مقفاة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بالضرورة،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بذلك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أقرب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شيء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للسجع،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هو السجع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نفسه.</w:t>
      </w:r>
    </w:p>
    <w:p w:rsidR="00913744" w:rsidRPr="00913744" w:rsidRDefault="00913744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وهناك من يرى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الغناء هو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أصل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 العربي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(فلما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وجد العرب المنثور يند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عليهم،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وينفلت من بين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أيديهم،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ولم يكن لهم كتاب يتضمن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أفعالهم،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تدبروا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الأوزان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والأعاريض،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فأخرجوا الكلام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أحسن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مخرج بأساليب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الغناء،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فجاءهم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مستويا،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ورأوه باقيا على مر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الزمن،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فألفوا ذلك وسموه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شعرا.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913744" w:rsidRPr="00913744" w:rsidRDefault="00913744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ويتفق هذا الرأي مع ما رواه أبو حيان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التوحيدي،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لبعض الشعراء في الجاهلية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أوزانا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تتقبلها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طباعنا،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ولا تحسن في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أذواقنا،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عندهم مقبولة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موزونة،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كقول المرقش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الأكبر:</w:t>
      </w:r>
      <w:r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913744" w:rsidRPr="00913744" w:rsidRDefault="00913744" w:rsidP="00913744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1374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لابنة عجلان في الجو رسوم       لم يتعفين والعهد قديم</w:t>
      </w:r>
    </w:p>
    <w:p w:rsidR="00913744" w:rsidRPr="00913744" w:rsidRDefault="00D3760C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ويتوسط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آخرون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بحث الع</w:t>
      </w:r>
      <w:r w:rsidR="00913744">
        <w:rPr>
          <w:rFonts w:asciiTheme="majorBidi" w:hAnsiTheme="majorBidi" w:cstheme="majorBidi"/>
          <w:sz w:val="32"/>
          <w:szCs w:val="32"/>
          <w:rtl/>
          <w:lang w:bidi="ar-IQ"/>
        </w:rPr>
        <w:t>لاقة بين الشعر والغناء انهما تو</w:t>
      </w:r>
      <w:r w:rsid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>مان</w:t>
      </w:r>
      <w:r w:rsid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ارتبطت ولادة أحدهما </w:t>
      </w:r>
      <w:r w:rsid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بالآ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خر،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فالشعوب القديمة كالبابلية والمصرية كانت تقرن شعرها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بالموسيقى،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 الشعر في المعابد نوعا من التراتيل الموجهة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للآلهة.</w:t>
      </w:r>
    </w:p>
    <w:p w:rsidR="00913744" w:rsidRPr="00913744" w:rsidRDefault="00D3760C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وان التلبيات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أمثلة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لهذا الاقتران عند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العرب،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ذكر المعري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أنواعا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منها عدت عملا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أدبيا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ينتسب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الشعر،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والرجز،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والنثر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المسجوع،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إضافة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أورده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القدماء من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أمثلة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تغني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أصحابها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بالرجز،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وهم يسقون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إبلهم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يستخرجون الماء من </w:t>
      </w:r>
      <w:r w:rsidR="00913744"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الآبار،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عند ترقيص الأطفال </w:t>
      </w:r>
    </w:p>
    <w:p w:rsidR="00913744" w:rsidRPr="00913744" w:rsidRDefault="00D3760C" w:rsidP="00913744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وذهب ابن خلدون ابعد من ذلك حين عد الشعر والغناء شيئا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واحدا،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وقال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الترنم بالشعر يسمى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غناء.</w:t>
      </w:r>
    </w:p>
    <w:p w:rsidR="00913744" w:rsidRPr="00913744" w:rsidRDefault="00D3760C" w:rsidP="00D3760C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    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ويرى نقاد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آخرون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الحداء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أصل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الشعر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العربي،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أول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السماع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والترجيع،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ثم اشتق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الغناء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منه،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الوزان الشعر العربي نشأت من الحداة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والرعاة،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وكانت على صلة بحركات المطي من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الإبل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والخيل،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الرجز كان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أوسعها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انتشارا،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سواء كانت الغاية دينية مرتبطة بالتراتيل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والأناشيد،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أم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اجتماعية مرتبطة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بالحداء،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أغاني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العمل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والترقيص.</w:t>
      </w:r>
    </w:p>
    <w:p w:rsidR="00913744" w:rsidRPr="00913744" w:rsidRDefault="00D3760C" w:rsidP="00913744">
      <w:pPr>
        <w:spacing w:before="120"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وعلى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هذا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الافتراض،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نستطيع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نقسم عصر الجاهلية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913744" w:rsidRPr="0091374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913744">
        <w:rPr>
          <w:rFonts w:asciiTheme="majorBidi" w:hAnsiTheme="majorBidi" w:cstheme="majorBidi" w:hint="cs"/>
          <w:sz w:val="32"/>
          <w:szCs w:val="32"/>
          <w:rtl/>
          <w:lang w:bidi="ar-IQ"/>
        </w:rPr>
        <w:t>مراحل:</w:t>
      </w:r>
    </w:p>
    <w:p w:rsidR="00913744" w:rsidRPr="00D3760C" w:rsidRDefault="00913744" w:rsidP="00D3760C">
      <w:pPr>
        <w:pStyle w:val="a3"/>
        <w:numPr>
          <w:ilvl w:val="0"/>
          <w:numId w:val="28"/>
        </w:numPr>
        <w:spacing w:before="120" w:after="0" w:line="20" w:lineRule="atLeast"/>
        <w:ind w:left="714" w:hanging="357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3760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المرحلة </w:t>
      </w:r>
      <w:r w:rsidR="00D3760C"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الأولى</w:t>
      </w:r>
      <w:r w:rsidR="00D3760C" w:rsidRPr="00D3760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مرحلة النشأة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والولادة،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غامضة،</w:t>
      </w:r>
      <w:r w:rsidR="00D3760C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آ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راء حولها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متضاربة،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أشرنا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بعض منها ولا يمكن الجزم بصة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منها،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ترجيح راي على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آخر،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لأنها لا تتعدى حدود الافتراض نولا نملك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أية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وثيقة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تاريخية نجزم من خلالها بصحة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الراي.</w:t>
      </w:r>
    </w:p>
    <w:p w:rsidR="00913744" w:rsidRPr="00D3760C" w:rsidRDefault="00913744" w:rsidP="00D3760C">
      <w:pPr>
        <w:pStyle w:val="a3"/>
        <w:numPr>
          <w:ilvl w:val="0"/>
          <w:numId w:val="28"/>
        </w:numPr>
        <w:spacing w:before="120" w:after="0" w:line="20" w:lineRule="atLeast"/>
        <w:ind w:left="714" w:hanging="357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3760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المرحلة </w:t>
      </w:r>
      <w:r w:rsidR="00D3760C"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الثانية</w:t>
      </w:r>
      <w:r w:rsidR="00D3760C" w:rsidRPr="00D3760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مرحلة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المقطعات،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غامضه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أيضاً،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ولم نستطع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نتبين من ملامحها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شيء،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سوى ما أشار اليه ابن سلام وغيره من النقاد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القدماء.</w:t>
      </w:r>
    </w:p>
    <w:p w:rsidR="00913744" w:rsidRPr="00D3760C" w:rsidRDefault="00D3760C" w:rsidP="00D3760C">
      <w:pPr>
        <w:pStyle w:val="a3"/>
        <w:numPr>
          <w:ilvl w:val="0"/>
          <w:numId w:val="28"/>
        </w:numPr>
        <w:spacing w:before="120" w:after="0" w:line="20" w:lineRule="atLeast"/>
        <w:ind w:left="714" w:hanging="357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أما</w:t>
      </w:r>
      <w:r w:rsidR="00913744" w:rsidRPr="00D3760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المرحلة </w:t>
      </w:r>
      <w:r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الثالثة: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هي مرحلة القصيد وذهب العلماء والنقاد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ترجع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قبل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الإسلام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بقرنين 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على ابعد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تقدير،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واتفقوا على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المهلهل بن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ربيعة،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وامرأ القيس كانا من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أشهر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أعلامها،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إذ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أرسيا تقاليد فنية لشكل جديد في الشعر العربي هو (القصيد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).</w:t>
      </w:r>
    </w:p>
    <w:p w:rsidR="00913744" w:rsidRPr="00913744" w:rsidRDefault="00913744" w:rsidP="00913744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376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وقد قسم النقاد الشعراء </w:t>
      </w:r>
      <w:r w:rsidR="00D3760C" w:rsidRPr="00D3760C">
        <w:rPr>
          <w:rFonts w:asciiTheme="majorBidi" w:hAnsiTheme="majorBidi" w:cs="PT Bold Heading" w:hint="cs"/>
          <w:sz w:val="32"/>
          <w:szCs w:val="32"/>
          <w:rtl/>
          <w:lang w:bidi="ar-IQ"/>
        </w:rPr>
        <w:t>إلى</w:t>
      </w:r>
      <w:r w:rsidRPr="00D376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="00D3760C" w:rsidRPr="00D3760C">
        <w:rPr>
          <w:rFonts w:asciiTheme="majorBidi" w:hAnsiTheme="majorBidi" w:cs="PT Bold Heading" w:hint="cs"/>
          <w:sz w:val="32"/>
          <w:szCs w:val="32"/>
          <w:rtl/>
          <w:lang w:bidi="ar-IQ"/>
        </w:rPr>
        <w:t>أجيال</w:t>
      </w:r>
      <w:r w:rsidRPr="00D3760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3760C">
        <w:rPr>
          <w:rFonts w:asciiTheme="majorBidi" w:hAnsiTheme="majorBidi" w:cs="PT Bold Heading" w:hint="cs"/>
          <w:sz w:val="32"/>
          <w:szCs w:val="32"/>
          <w:rtl/>
          <w:lang w:bidi="ar-IQ"/>
        </w:rPr>
        <w:t>شعرية:</w:t>
      </w:r>
    </w:p>
    <w:p w:rsidR="00913744" w:rsidRPr="00D3760C" w:rsidRDefault="00913744" w:rsidP="00D3760C">
      <w:pPr>
        <w:pStyle w:val="a3"/>
        <w:numPr>
          <w:ilvl w:val="0"/>
          <w:numId w:val="27"/>
        </w:numPr>
        <w:spacing w:before="120" w:after="0" w:line="20" w:lineRule="atLeast"/>
        <w:ind w:left="714" w:hanging="357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3760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الجيل </w:t>
      </w:r>
      <w:r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الأول</w:t>
      </w:r>
      <w:r w:rsidRPr="00D3760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</w:t>
      </w:r>
      <w:bookmarkStart w:id="0" w:name="_GoBack"/>
      <w:bookmarkEnd w:id="0"/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>يل المهلهل وامرأ القيس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وطرفة بن العبد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وعلقمة الفحل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والحارث بن حلزة ال</w:t>
      </w:r>
      <w:r w:rsidR="00D3760C" w:rsidRPr="00D3760C">
        <w:rPr>
          <w:rFonts w:asciiTheme="majorBidi" w:hAnsiTheme="majorBidi" w:cstheme="majorBidi"/>
          <w:sz w:val="32"/>
          <w:szCs w:val="32"/>
          <w:rtl/>
          <w:lang w:bidi="ar-IQ"/>
        </w:rPr>
        <w:t>يشكري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وعمرو بن كلثوم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والمتلمس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وتدل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أخبارهم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انهم ظهروا في حرب البسوس وما بعدها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بداية حرب داحس والغبراء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شكل هؤلاء </w:t>
      </w:r>
      <w:r w:rsidR="00D3760C" w:rsidRPr="00D3760C">
        <w:rPr>
          <w:rFonts w:asciiTheme="majorBidi" w:hAnsiTheme="majorBidi" w:cstheme="majorBidi"/>
          <w:sz w:val="32"/>
          <w:szCs w:val="32"/>
          <w:rtl/>
          <w:lang w:bidi="ar-IQ"/>
        </w:rPr>
        <w:t>مدرسة فنية متميزة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اطلق عليها النقاد تسمية مدرسة (الطبع)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لأنها تمثل منهجا فنيا يقوم على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العفوية والتلقائية يمارس الشاعر من خلالها عملة الفني من غير تكلف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D3760C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تصنع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ويعبر عن نفسة تعبيرا مباشرا لا اثر فيه لمكابدة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معاناة نوهم الجيل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الأول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الشعراء الجاهليين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الذين وصلتنا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أخبارهم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ونماذج كاملة من </w:t>
      </w:r>
      <w:r w:rsidR="00D3760C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أشعارهم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.</w:t>
      </w:r>
    </w:p>
    <w:p w:rsidR="00913744" w:rsidRPr="00D3760C" w:rsidRDefault="00D3760C" w:rsidP="00D3760C">
      <w:pPr>
        <w:pStyle w:val="a3"/>
        <w:numPr>
          <w:ilvl w:val="0"/>
          <w:numId w:val="27"/>
        </w:numPr>
        <w:spacing w:before="120" w:after="0" w:line="20" w:lineRule="atLeast"/>
        <w:ind w:left="714" w:hanging="357"/>
        <w:contextualSpacing w:val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أما</w:t>
      </w:r>
      <w:r w:rsidR="00913744" w:rsidRPr="00D3760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الجيل </w:t>
      </w:r>
      <w:r w:rsidR="00913744"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الثاني</w:t>
      </w:r>
      <w:r w:rsidR="00913744" w:rsidRPr="00D3760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فهو جيل الشعراء الذين عاصروا حرب داحس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والغبراء،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ظهرت في شعر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أكثرهم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أثار (ألصنعة) التي كانت مدعاة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يصفهم النقاد بعبيد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الشعر،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لما كانوا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يتكلفونه من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جهد وعناء ومكابدة في صناعة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شعرهم،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ومنهم أوس بن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حجر،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وأستاذه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الطفيل الغنوي الملقب بالمحبر لحسن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شعره،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وزهير بن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أبي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سلمى،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وخاله بشامة بن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الغدير،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وعاصرهم قيس بن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زهير، وعنترة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شداد الشاعر الفارس الذي ذاع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صيتة،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والنابغة الذبياني الذي شهد حرب الحرب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بين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(ذبيان) و(عبس)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وطائفة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الشعراء كالمنخل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اليشكري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والأسود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يعفر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والشفري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>وتأبط شرا</w:t>
      </w:r>
      <w:r w:rsidR="00913744"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ً،</w:t>
      </w:r>
      <w:r w:rsidR="00913744"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وسلامة بن جندل. </w:t>
      </w:r>
    </w:p>
    <w:p w:rsidR="00913744" w:rsidRPr="00D3760C" w:rsidRDefault="00913744" w:rsidP="00D3760C">
      <w:pPr>
        <w:pStyle w:val="a3"/>
        <w:numPr>
          <w:ilvl w:val="0"/>
          <w:numId w:val="27"/>
        </w:numPr>
        <w:spacing w:before="120" w:after="0" w:line="20" w:lineRule="atLeast"/>
        <w:ind w:left="714" w:hanging="357"/>
        <w:contextualSpacing w:val="0"/>
        <w:jc w:val="both"/>
        <w:rPr>
          <w:sz w:val="28"/>
          <w:szCs w:val="28"/>
          <w:rtl/>
          <w:lang w:bidi="ar-IQ"/>
        </w:rPr>
      </w:pPr>
      <w:r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lastRenderedPageBreak/>
        <w:t>أما</w:t>
      </w:r>
      <w:r w:rsidRPr="00D3760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الجيل </w:t>
      </w:r>
      <w:r w:rsidRPr="00D376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الثالث</w:t>
      </w:r>
      <w:r w:rsidRPr="00D3760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هم جيل الشعراء الذين ظهروا في زمن قريب من ظهور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الإسلام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والمخضرمين ومنهم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الأعشى،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وبشر بن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أبي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الأسد،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والحادرة،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وحاتم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الطائي،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وقيس بن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الخطيم،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وعروة بن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الورد، وعامر</w:t>
      </w:r>
      <w:r w:rsidRPr="00D376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</w:t>
      </w:r>
      <w:r w:rsidRPr="00D3760C">
        <w:rPr>
          <w:rFonts w:asciiTheme="majorBidi" w:hAnsiTheme="majorBidi" w:cstheme="majorBidi" w:hint="cs"/>
          <w:sz w:val="32"/>
          <w:szCs w:val="32"/>
          <w:rtl/>
          <w:lang w:bidi="ar-IQ"/>
        </w:rPr>
        <w:t>الطفيل.</w:t>
      </w:r>
    </w:p>
    <w:p w:rsidR="00913744" w:rsidRDefault="00913744" w:rsidP="00017636">
      <w:pPr>
        <w:spacing w:after="0" w:line="20" w:lineRule="atLeast"/>
        <w:rPr>
          <w:rFonts w:asciiTheme="majorBidi" w:hAnsiTheme="majorBidi" w:cs="PT Bold Heading"/>
          <w:sz w:val="32"/>
          <w:szCs w:val="32"/>
          <w:rtl/>
          <w:lang w:bidi="ar-IQ"/>
        </w:rPr>
      </w:pPr>
    </w:p>
    <w:p w:rsidR="00913744" w:rsidRDefault="00913744" w:rsidP="00017636">
      <w:pPr>
        <w:spacing w:after="0" w:line="20" w:lineRule="atLeast"/>
        <w:rPr>
          <w:rFonts w:asciiTheme="majorBidi" w:hAnsiTheme="majorBidi" w:cs="PT Bold Heading"/>
          <w:sz w:val="32"/>
          <w:szCs w:val="32"/>
          <w:rtl/>
          <w:lang w:bidi="ar-IQ"/>
        </w:rPr>
      </w:pPr>
    </w:p>
    <w:p w:rsidR="00913744" w:rsidRPr="00E14C4A" w:rsidRDefault="00913744" w:rsidP="0001763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913744" w:rsidRPr="00E14C4A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AE" w:rsidRDefault="00DF35AE" w:rsidP="00561D64">
      <w:pPr>
        <w:spacing w:after="0" w:line="240" w:lineRule="auto"/>
      </w:pPr>
      <w:r>
        <w:separator/>
      </w:r>
    </w:p>
  </w:endnote>
  <w:endnote w:type="continuationSeparator" w:id="0">
    <w:p w:rsidR="00DF35AE" w:rsidRDefault="00DF35AE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D3760C" w:rsidRPr="00D3760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AE" w:rsidRDefault="00DF35AE" w:rsidP="00561D64">
      <w:pPr>
        <w:spacing w:after="0" w:line="240" w:lineRule="auto"/>
      </w:pPr>
      <w:r>
        <w:separator/>
      </w:r>
    </w:p>
  </w:footnote>
  <w:footnote w:type="continuationSeparator" w:id="0">
    <w:p w:rsidR="00DF35AE" w:rsidRDefault="00DF35AE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E0E3D"/>
    <w:rsid w:val="000E2418"/>
    <w:rsid w:val="000E7013"/>
    <w:rsid w:val="000F4408"/>
    <w:rsid w:val="0010421B"/>
    <w:rsid w:val="00105E40"/>
    <w:rsid w:val="00110A53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1E4E2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2248-6A3D-40A7-AE22-9A7FC35F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16</cp:revision>
  <cp:lastPrinted>2018-02-15T10:20:00Z</cp:lastPrinted>
  <dcterms:created xsi:type="dcterms:W3CDTF">2018-01-19T21:48:00Z</dcterms:created>
  <dcterms:modified xsi:type="dcterms:W3CDTF">2018-02-25T22:12:00Z</dcterms:modified>
</cp:coreProperties>
</file>