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0E" w:rsidRPr="00EA5318" w:rsidRDefault="00F8100E" w:rsidP="00F8100E">
      <w:pPr>
        <w:bidi/>
        <w:jc w:val="center"/>
        <w:rPr>
          <w:rFonts w:ascii="Simplified Arabic" w:hAnsi="Simplified Arabic" w:cs="Simplified Arabic"/>
          <w:b/>
          <w:bCs/>
          <w:sz w:val="44"/>
          <w:szCs w:val="44"/>
          <w:rtl/>
          <w:lang w:bidi="ar-IQ"/>
        </w:rPr>
      </w:pPr>
      <w:r w:rsidRPr="00EA5318">
        <w:rPr>
          <w:rFonts w:ascii="Simplified Arabic" w:hAnsi="Simplified Arabic" w:cs="Simplified Arabic" w:hint="cs"/>
          <w:b/>
          <w:bCs/>
          <w:sz w:val="44"/>
          <w:szCs w:val="44"/>
          <w:rtl/>
          <w:lang w:bidi="ar-IQ"/>
        </w:rPr>
        <w:t xml:space="preserve">محاضرات في منهج </w:t>
      </w:r>
      <w:bookmarkStart w:id="0" w:name="_GoBack"/>
      <w:bookmarkEnd w:id="0"/>
      <w:r w:rsidRPr="00EA5318">
        <w:rPr>
          <w:rFonts w:ascii="Simplified Arabic" w:hAnsi="Simplified Arabic" w:cs="Simplified Arabic" w:hint="cs"/>
          <w:b/>
          <w:bCs/>
          <w:sz w:val="44"/>
          <w:szCs w:val="44"/>
          <w:rtl/>
          <w:lang w:bidi="ar-IQ"/>
        </w:rPr>
        <w:t>البحث التأريخي</w:t>
      </w:r>
    </w:p>
    <w:p w:rsidR="00F8100E" w:rsidRDefault="00F8100E" w:rsidP="00F8100E">
      <w:pPr>
        <w:bidi/>
        <w:rPr>
          <w:rFonts w:ascii="Simplified Arabic" w:hAnsi="Simplified Arabic" w:cs="Simplified Arabic"/>
          <w:b/>
          <w:bCs/>
          <w:sz w:val="28"/>
          <w:szCs w:val="28"/>
          <w:rtl/>
          <w:lang w:bidi="ar-IQ"/>
        </w:rPr>
      </w:pPr>
      <w:r w:rsidRPr="00EA5318">
        <w:rPr>
          <w:rFonts w:ascii="Simplified Arabic" w:hAnsi="Simplified Arabic" w:cs="Simplified Arabic" w:hint="cs"/>
          <w:b/>
          <w:bCs/>
          <w:sz w:val="28"/>
          <w:szCs w:val="28"/>
          <w:rtl/>
          <w:lang w:bidi="ar-IQ"/>
        </w:rPr>
        <w:t>المرحلة الأولى</w:t>
      </w:r>
      <w:r>
        <w:rPr>
          <w:rFonts w:ascii="Simplified Arabic" w:hAnsi="Simplified Arabic" w:cs="Simplified Arabic" w:hint="cs"/>
          <w:b/>
          <w:bCs/>
          <w:sz w:val="28"/>
          <w:szCs w:val="28"/>
          <w:rtl/>
          <w:lang w:bidi="ar-IQ"/>
        </w:rPr>
        <w:t xml:space="preserve"> والرابعة </w:t>
      </w:r>
      <w:r w:rsidRPr="00EA5318">
        <w:rPr>
          <w:rFonts w:ascii="Simplified Arabic" w:hAnsi="Simplified Arabic" w:cs="Simplified Arabic" w:hint="cs"/>
          <w:b/>
          <w:bCs/>
          <w:sz w:val="28"/>
          <w:szCs w:val="28"/>
          <w:rtl/>
          <w:lang w:bidi="ar-IQ"/>
        </w:rPr>
        <w:t xml:space="preserve">- الآداب-قسم التاريخ       </w:t>
      </w:r>
      <w:r>
        <w:rPr>
          <w:rFonts w:ascii="Simplified Arabic" w:hAnsi="Simplified Arabic" w:cs="Simplified Arabic" w:hint="cs"/>
          <w:b/>
          <w:bCs/>
          <w:sz w:val="28"/>
          <w:szCs w:val="28"/>
          <w:rtl/>
          <w:lang w:bidi="ar-IQ"/>
        </w:rPr>
        <w:t xml:space="preserve">                    </w:t>
      </w:r>
      <w:r w:rsidRPr="00EA5318">
        <w:rPr>
          <w:rFonts w:ascii="Simplified Arabic" w:hAnsi="Simplified Arabic" w:cs="Simplified Arabic" w:hint="cs"/>
          <w:b/>
          <w:bCs/>
          <w:sz w:val="28"/>
          <w:szCs w:val="28"/>
          <w:rtl/>
          <w:lang w:bidi="ar-IQ"/>
        </w:rPr>
        <w:t xml:space="preserve">   د. ثامر مكي علي</w:t>
      </w:r>
    </w:p>
    <w:p w:rsidR="00F8100E" w:rsidRDefault="00F8100E" w:rsidP="00F8100E">
      <w:pPr>
        <w:bidi/>
        <w:spacing w:line="240" w:lineRule="auto"/>
        <w:ind w:firstLine="720"/>
        <w:jc w:val="both"/>
        <w:rPr>
          <w:rFonts w:ascii="Simplified Arabic" w:hAnsi="Simplified Arabic" w:cs="Simplified Arabic"/>
          <w:b/>
          <w:bCs/>
          <w:sz w:val="36"/>
          <w:szCs w:val="36"/>
          <w:u w:val="single"/>
          <w:rtl/>
          <w:lang w:bidi="ar-IQ"/>
        </w:rPr>
      </w:pPr>
      <w:r w:rsidRPr="00997A6E">
        <w:rPr>
          <w:rFonts w:ascii="Simplified Arabic" w:hAnsi="Simplified Arabic" w:cs="Simplified Arabic" w:hint="cs"/>
          <w:sz w:val="32"/>
          <w:szCs w:val="32"/>
          <w:rtl/>
          <w:lang w:bidi="ar-IQ"/>
        </w:rPr>
        <w:t>المحاضرة</w:t>
      </w:r>
      <w:r>
        <w:rPr>
          <w:rFonts w:ascii="Simplified Arabic" w:hAnsi="Simplified Arabic" w:cs="Simplified Arabic" w:hint="cs"/>
          <w:sz w:val="32"/>
          <w:szCs w:val="32"/>
          <w:rtl/>
          <w:lang w:bidi="ar-IQ"/>
        </w:rPr>
        <w:t xml:space="preserve"> التاسعة والعشرين</w:t>
      </w:r>
    </w:p>
    <w:p w:rsidR="008952A2" w:rsidRPr="0067500B" w:rsidRDefault="008952A2" w:rsidP="00F8100E">
      <w:pPr>
        <w:bidi/>
        <w:spacing w:line="240" w:lineRule="auto"/>
        <w:ind w:firstLine="720"/>
        <w:jc w:val="both"/>
        <w:rPr>
          <w:rFonts w:ascii="Simplified Arabic" w:hAnsi="Simplified Arabic" w:cs="Simplified Arabic"/>
          <w:b/>
          <w:bCs/>
          <w:sz w:val="36"/>
          <w:szCs w:val="36"/>
          <w:u w:val="single"/>
          <w:rtl/>
          <w:lang w:bidi="ar-IQ"/>
        </w:rPr>
      </w:pPr>
      <w:r w:rsidRPr="0067500B">
        <w:rPr>
          <w:rFonts w:ascii="Simplified Arabic" w:hAnsi="Simplified Arabic" w:cs="Simplified Arabic" w:hint="cs"/>
          <w:b/>
          <w:bCs/>
          <w:sz w:val="36"/>
          <w:szCs w:val="36"/>
          <w:u w:val="single"/>
          <w:rtl/>
          <w:lang w:bidi="ar-IQ"/>
        </w:rPr>
        <w:t>بعض المصطلحات والرموز الخاصة بأعداد الهوامش</w:t>
      </w:r>
      <w:r>
        <w:rPr>
          <w:rFonts w:ascii="Simplified Arabic" w:hAnsi="Simplified Arabic" w:cs="Simplified Arabic" w:hint="cs"/>
          <w:b/>
          <w:bCs/>
          <w:sz w:val="36"/>
          <w:szCs w:val="36"/>
          <w:u w:val="single"/>
          <w:rtl/>
          <w:lang w:bidi="ar-IQ"/>
        </w:rPr>
        <w:t>:</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هناك عدد من المصطلحات والرموز الفنية التي يلجأ الى استعمالها الباحث في الهوامش بعد الإحالة الأولى الكاملة للمصدر(والتي اشرنا اليها تواً)، وهذه المصطلحات لاتينية الأصل يتبناها المؤرخون لتسهيل مهمة القارئ والناقد في متابعة محتويات البحث وحيثياته. وينظر اليها على انها وسائل فنية لسبك معلومات الهوامش ولخلق وحدة من التجانس الفني بينهما، ومنها في المكان نفسه (المصدر نفسه) (</w:t>
      </w:r>
      <w:r>
        <w:rPr>
          <w:rFonts w:ascii="Simplified Arabic" w:hAnsi="Simplified Arabic" w:cs="Simplified Arabic"/>
          <w:sz w:val="32"/>
          <w:szCs w:val="32"/>
          <w:lang w:bidi="ar-IQ"/>
        </w:rPr>
        <w:t>Ibid</w:t>
      </w:r>
      <w:r>
        <w:rPr>
          <w:rFonts w:ascii="Simplified Arabic" w:hAnsi="Simplified Arabic" w:cs="Simplified Arabic" w:hint="cs"/>
          <w:sz w:val="32"/>
          <w:szCs w:val="32"/>
          <w:rtl/>
          <w:lang w:bidi="ar-IQ"/>
        </w:rPr>
        <w:t>) ، ودون تاريخ(</w:t>
      </w:r>
      <w:r>
        <w:rPr>
          <w:rFonts w:ascii="Simplified Arabic" w:hAnsi="Simplified Arabic" w:cs="Simplified Arabic"/>
          <w:sz w:val="32"/>
          <w:szCs w:val="32"/>
          <w:lang w:bidi="ar-IQ"/>
        </w:rPr>
        <w:t>n.d</w:t>
      </w:r>
      <w:r>
        <w:rPr>
          <w:rFonts w:ascii="Simplified Arabic" w:hAnsi="Simplified Arabic" w:cs="Simplified Arabic" w:hint="cs"/>
          <w:sz w:val="32"/>
          <w:szCs w:val="32"/>
          <w:rtl/>
          <w:lang w:bidi="ar-IQ"/>
        </w:rPr>
        <w:t>)  ومجلد(</w:t>
      </w:r>
      <w:r>
        <w:rPr>
          <w:rFonts w:ascii="Simplified Arabic" w:hAnsi="Simplified Arabic" w:cs="Simplified Arabic"/>
          <w:sz w:val="32"/>
          <w:szCs w:val="32"/>
          <w:lang w:bidi="ar-IQ"/>
        </w:rPr>
        <w:t>vol</w:t>
      </w:r>
      <w:r>
        <w:rPr>
          <w:rFonts w:ascii="Simplified Arabic" w:hAnsi="Simplified Arabic" w:cs="Simplified Arabic" w:hint="cs"/>
          <w:sz w:val="32"/>
          <w:szCs w:val="32"/>
          <w:rtl/>
          <w:lang w:bidi="ar-IQ"/>
        </w:rPr>
        <w:t>)</w:t>
      </w:r>
      <w:r>
        <w:rPr>
          <w:rFonts w:ascii="Simplified Arabic" w:hAnsi="Simplified Arabic" w:cs="Simplified Arabic"/>
          <w:sz w:val="32"/>
          <w:szCs w:val="32"/>
          <w:lang w:bidi="ar-IQ"/>
        </w:rPr>
        <w:t xml:space="preserve"> </w:t>
      </w:r>
      <w:r>
        <w:rPr>
          <w:rFonts w:ascii="Simplified Arabic" w:hAnsi="Simplified Arabic" w:cs="Simplified Arabic"/>
          <w:sz w:val="32"/>
          <w:szCs w:val="32"/>
          <w:lang w:bidi="ar-IQ"/>
        </w:rPr>
        <w:tab/>
      </w:r>
      <w:r>
        <w:rPr>
          <w:rFonts w:ascii="Simplified Arabic" w:hAnsi="Simplified Arabic" w:cs="Simplified Arabic" w:hint="cs"/>
          <w:sz w:val="32"/>
          <w:szCs w:val="32"/>
          <w:rtl/>
          <w:lang w:bidi="ar-IQ"/>
        </w:rPr>
        <w:t>والمصدر السابق(</w:t>
      </w:r>
      <w:r>
        <w:rPr>
          <w:rFonts w:ascii="Simplified Arabic" w:hAnsi="Simplified Arabic" w:cs="Simplified Arabic"/>
          <w:sz w:val="32"/>
          <w:szCs w:val="32"/>
          <w:lang w:bidi="ar-IQ"/>
        </w:rPr>
        <w:t>Op.Cit</w:t>
      </w:r>
      <w:r>
        <w:rPr>
          <w:rFonts w:ascii="Simplified Arabic" w:hAnsi="Simplified Arabic" w:cs="Simplified Arabic" w:hint="cs"/>
          <w:sz w:val="32"/>
          <w:szCs w:val="32"/>
          <w:rtl/>
          <w:lang w:bidi="ar-IQ"/>
        </w:rPr>
        <w:t>)وصفحة(</w:t>
      </w:r>
      <w:r>
        <w:rPr>
          <w:rFonts w:ascii="Simplified Arabic" w:hAnsi="Simplified Arabic" w:cs="Simplified Arabic"/>
          <w:sz w:val="32"/>
          <w:szCs w:val="32"/>
          <w:lang w:bidi="ar-IQ"/>
        </w:rPr>
        <w:t>p</w:t>
      </w:r>
      <w:r>
        <w:rPr>
          <w:rFonts w:ascii="Simplified Arabic" w:hAnsi="Simplified Arabic" w:cs="Simplified Arabic" w:hint="cs"/>
          <w:sz w:val="32"/>
          <w:szCs w:val="32"/>
          <w:rtl/>
          <w:lang w:bidi="ar-IQ"/>
        </w:rPr>
        <w:t>) وجزء(</w:t>
      </w:r>
      <w:r>
        <w:rPr>
          <w:rFonts w:ascii="Simplified Arabic" w:hAnsi="Simplified Arabic" w:cs="Simplified Arabic"/>
          <w:sz w:val="32"/>
          <w:szCs w:val="32"/>
          <w:lang w:bidi="ar-IQ"/>
        </w:rPr>
        <w:t>part</w:t>
      </w:r>
      <w:r>
        <w:rPr>
          <w:rFonts w:ascii="Simplified Arabic" w:hAnsi="Simplified Arabic" w:cs="Simplified Arabic" w:hint="cs"/>
          <w:sz w:val="32"/>
          <w:szCs w:val="32"/>
          <w:rtl/>
          <w:lang w:bidi="ar-IQ"/>
        </w:rPr>
        <w:t>).</w:t>
      </w:r>
    </w:p>
    <w:p w:rsidR="008952A2" w:rsidRDefault="008952A2" w:rsidP="008952A2">
      <w:pPr>
        <w:bidi/>
        <w:spacing w:line="240" w:lineRule="auto"/>
        <w:ind w:firstLine="720"/>
        <w:jc w:val="both"/>
        <w:rPr>
          <w:rFonts w:ascii="Simplified Arabic" w:hAnsi="Simplified Arabic" w:cs="Simplified Arabic"/>
          <w:b/>
          <w:bCs/>
          <w:sz w:val="32"/>
          <w:szCs w:val="32"/>
          <w:rtl/>
          <w:lang w:bidi="ar-IQ"/>
        </w:rPr>
      </w:pPr>
      <w:r w:rsidRPr="00950BE3">
        <w:rPr>
          <w:rFonts w:ascii="Simplified Arabic" w:hAnsi="Simplified Arabic" w:cs="Simplified Arabic" w:hint="cs"/>
          <w:b/>
          <w:bCs/>
          <w:sz w:val="32"/>
          <w:szCs w:val="32"/>
          <w:rtl/>
          <w:lang w:bidi="ar-IQ"/>
        </w:rPr>
        <w:t>لتوضيح كيفية استعمال (المصدر نفسه)</w:t>
      </w:r>
      <w:r>
        <w:rPr>
          <w:rFonts w:ascii="Simplified Arabic" w:hAnsi="Simplified Arabic" w:cs="Simplified Arabic" w:hint="cs"/>
          <w:b/>
          <w:bCs/>
          <w:sz w:val="32"/>
          <w:szCs w:val="32"/>
          <w:rtl/>
          <w:lang w:bidi="ar-IQ"/>
        </w:rPr>
        <w:t xml:space="preserve"> </w:t>
      </w:r>
      <w:r w:rsidRPr="00DE45C6">
        <w:rPr>
          <w:rFonts w:ascii="Simplified Arabic" w:hAnsi="Simplified Arabic" w:cs="Simplified Arabic" w:hint="cs"/>
          <w:sz w:val="32"/>
          <w:szCs w:val="32"/>
          <w:rtl/>
          <w:lang w:bidi="ar-IQ"/>
        </w:rPr>
        <w:t xml:space="preserve">فهي تستعمل في حالة تكرار الإشارات لنفس المصدر المستعمل في الهوامش دون ان يحدث تعارض من أي مصدر اخر ذكر لاحقاً </w:t>
      </w:r>
      <w:r>
        <w:rPr>
          <w:rFonts w:ascii="Simplified Arabic" w:hAnsi="Simplified Arabic" w:cs="Simplified Arabic" w:hint="cs"/>
          <w:b/>
          <w:bCs/>
          <w:sz w:val="32"/>
          <w:szCs w:val="32"/>
          <w:rtl/>
          <w:lang w:bidi="ar-IQ"/>
        </w:rPr>
        <w:t xml:space="preserve">اما </w:t>
      </w:r>
      <w:r w:rsidRPr="00950BE3">
        <w:rPr>
          <w:rFonts w:ascii="Simplified Arabic" w:hAnsi="Simplified Arabic" w:cs="Simplified Arabic" w:hint="cs"/>
          <w:b/>
          <w:bCs/>
          <w:sz w:val="32"/>
          <w:szCs w:val="32"/>
          <w:rtl/>
          <w:lang w:bidi="ar-IQ"/>
        </w:rPr>
        <w:t>(المصدر السابق)</w:t>
      </w:r>
      <w:r>
        <w:rPr>
          <w:rFonts w:ascii="Simplified Arabic" w:hAnsi="Simplified Arabic" w:cs="Simplified Arabic" w:hint="cs"/>
          <w:b/>
          <w:bCs/>
          <w:sz w:val="32"/>
          <w:szCs w:val="32"/>
          <w:rtl/>
          <w:lang w:bidi="ar-IQ"/>
        </w:rPr>
        <w:t xml:space="preserve"> </w:t>
      </w:r>
      <w:r w:rsidRPr="00DE45C6">
        <w:rPr>
          <w:rFonts w:ascii="Simplified Arabic" w:hAnsi="Simplified Arabic" w:cs="Simplified Arabic" w:hint="cs"/>
          <w:sz w:val="32"/>
          <w:szCs w:val="32"/>
          <w:rtl/>
          <w:lang w:bidi="ar-IQ"/>
        </w:rPr>
        <w:t>للإشارة الى مصدر سبق ان قدمت معلوماته كاملة في هامش اعلى. ومن</w:t>
      </w:r>
      <w:r>
        <w:rPr>
          <w:rFonts w:ascii="Simplified Arabic" w:hAnsi="Simplified Arabic" w:cs="Simplified Arabic" w:hint="cs"/>
          <w:b/>
          <w:bCs/>
          <w:sz w:val="32"/>
          <w:szCs w:val="32"/>
          <w:rtl/>
          <w:lang w:bidi="ar-IQ"/>
        </w:rPr>
        <w:t xml:space="preserve"> امثلة ذلك: </w:t>
      </w:r>
    </w:p>
    <w:p w:rsidR="008952A2" w:rsidRDefault="008952A2" w:rsidP="008952A2">
      <w:pPr>
        <w:bidi/>
        <w:spacing w:line="240" w:lineRule="auto"/>
        <w:ind w:firstLine="720"/>
        <w:jc w:val="both"/>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r w:rsidRPr="00950BE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مرتضى حسن النقيب، عماد الدين زنكي وسياسة الجهاد تجاه الصليبين الفرنج، المورد، المجلد 17، العدد الخامس(تشرين الثاني 1987)، </w:t>
      </w:r>
      <w:proofErr w:type="spellStart"/>
      <w:r>
        <w:rPr>
          <w:rFonts w:ascii="Simplified Arabic" w:hAnsi="Simplified Arabic" w:cs="Simplified Arabic" w:hint="cs"/>
          <w:sz w:val="32"/>
          <w:szCs w:val="32"/>
          <w:rtl/>
          <w:lang w:bidi="ar-IQ"/>
        </w:rPr>
        <w:t>صص</w:t>
      </w:r>
      <w:proofErr w:type="spellEnd"/>
      <w:r>
        <w:rPr>
          <w:rFonts w:ascii="Simplified Arabic" w:hAnsi="Simplified Arabic" w:cs="Simplified Arabic" w:hint="cs"/>
          <w:sz w:val="32"/>
          <w:szCs w:val="32"/>
          <w:rtl/>
          <w:lang w:bidi="ar-IQ"/>
        </w:rPr>
        <w:t xml:space="preserve"> 92-106.</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(2)المصدر نفسه.</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 xml:space="preserve">       اما مثال (المصدر السابق):</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(1)</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ثامر مكي علي، العلاقات الإنكليزية- الاسبانية في عهد الملكة اليزابيت الأولى(1558-1603)، أطروحة دكتوراه، كلية الآداب/ جامعة بغداد، 2014، ص22.</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lastRenderedPageBreak/>
        <w:t>(2)</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قاسم شعيب عباس، المصدر السابق، ص33.</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(3)</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ثامر مكي علي، المصدر السابق، ص23.</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(4)المصدر نفسه.</w:t>
      </w:r>
    </w:p>
    <w:p w:rsidR="008952A2" w:rsidRDefault="008952A2" w:rsidP="008952A2">
      <w:pPr>
        <w:bidi/>
        <w:spacing w:line="240" w:lineRule="auto"/>
        <w:ind w:firstLine="720"/>
        <w:jc w:val="both"/>
        <w:rPr>
          <w:rFonts w:ascii="Simplified Arabic" w:hAnsi="Simplified Arabic" w:cs="Simplified Arabic"/>
          <w:b/>
          <w:bCs/>
          <w:sz w:val="32"/>
          <w:szCs w:val="32"/>
          <w:rtl/>
          <w:lang w:bidi="ar-IQ"/>
        </w:rPr>
      </w:pPr>
      <w:r w:rsidRPr="00DE45C6">
        <w:rPr>
          <w:rFonts w:ascii="Simplified Arabic" w:hAnsi="Simplified Arabic" w:cs="Simplified Arabic" w:hint="cs"/>
          <w:b/>
          <w:bCs/>
          <w:sz w:val="32"/>
          <w:szCs w:val="32"/>
          <w:rtl/>
          <w:lang w:bidi="ar-IQ"/>
        </w:rPr>
        <w:t>س مهم</w:t>
      </w:r>
      <w:r>
        <w:rPr>
          <w:rFonts w:ascii="Simplified Arabic" w:hAnsi="Simplified Arabic" w:cs="Simplified Arabic" w:hint="cs"/>
          <w:b/>
          <w:bCs/>
          <w:sz w:val="32"/>
          <w:szCs w:val="32"/>
          <w:rtl/>
          <w:lang w:bidi="ar-IQ"/>
        </w:rPr>
        <w:t xml:space="preserve"> جداً</w:t>
      </w:r>
      <w:r w:rsidRPr="00DE45C6">
        <w:rPr>
          <w:rFonts w:ascii="Simplified Arabic" w:hAnsi="Simplified Arabic" w:cs="Simplified Arabic" w:hint="cs"/>
          <w:b/>
          <w:bCs/>
          <w:sz w:val="32"/>
          <w:szCs w:val="32"/>
          <w:rtl/>
          <w:lang w:bidi="ar-IQ"/>
        </w:rPr>
        <w:t>/ كيف تكتب هامش لكاتب له اكثر من مؤلف</w:t>
      </w:r>
      <w:r>
        <w:rPr>
          <w:rFonts w:ascii="Simplified Arabic" w:hAnsi="Simplified Arabic" w:cs="Simplified Arabic" w:hint="cs"/>
          <w:b/>
          <w:bCs/>
          <w:sz w:val="32"/>
          <w:szCs w:val="32"/>
          <w:rtl/>
          <w:lang w:bidi="ar-IQ"/>
        </w:rPr>
        <w:t xml:space="preserve"> كـ(مصدر سابق)</w:t>
      </w:r>
      <w:r w:rsidRPr="00DE45C6">
        <w:rPr>
          <w:rFonts w:ascii="Simplified Arabic" w:hAnsi="Simplified Arabic" w:cs="Simplified Arabic" w:hint="cs"/>
          <w:b/>
          <w:bCs/>
          <w:sz w:val="32"/>
          <w:szCs w:val="32"/>
          <w:rtl/>
          <w:lang w:bidi="ar-IQ"/>
        </w:rPr>
        <w:t>؟.</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b/>
          <w:bCs/>
          <w:sz w:val="32"/>
          <w:szCs w:val="32"/>
          <w:rtl/>
          <w:lang w:bidi="ar-IQ"/>
        </w:rPr>
        <w:t xml:space="preserve">كان يكون </w:t>
      </w:r>
      <w:r w:rsidRPr="00DE45C6">
        <w:rPr>
          <w:rFonts w:ascii="Simplified Arabic" w:hAnsi="Simplified Arabic" w:cs="Simplified Arabic" w:hint="cs"/>
          <w:sz w:val="32"/>
          <w:szCs w:val="32"/>
          <w:rtl/>
          <w:lang w:bidi="ar-IQ"/>
        </w:rPr>
        <w:t>(1)ثامر مكي علي، العلاقات الإنكليزية- الاسبانية في عهد الملكة اليزابيت الأولى(1558-1603)، أطروحة دكتوراه، كلية الآداب/ جامعة بغداد، 2014</w:t>
      </w:r>
      <w:r>
        <w:rPr>
          <w:rFonts w:ascii="Simplified Arabic" w:hAnsi="Simplified Arabic" w:cs="Simplified Arabic" w:hint="cs"/>
          <w:sz w:val="32"/>
          <w:szCs w:val="32"/>
          <w:rtl/>
          <w:lang w:bidi="ar-IQ"/>
        </w:rPr>
        <w:t>.</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(2)ثامر مكي علي، التطرف والعنف في اوربا في القرن السادس عشر(الحروب الدينية الفرنسية نموذجاً)، مجلة كلية التربية الأساسية، المجلد(2)، العدد(23)،2015.</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sidRPr="00B87B34">
        <w:rPr>
          <w:rFonts w:ascii="Simplified Arabic" w:hAnsi="Simplified Arabic" w:cs="Simplified Arabic" w:hint="cs"/>
          <w:sz w:val="32"/>
          <w:szCs w:val="32"/>
          <w:rtl/>
          <w:lang w:bidi="ar-IQ"/>
        </w:rPr>
        <w:t>ج/ثامر مكي علي، العلاقات الإنكليزية-الاسبانية......، ص23.  اذ لا يجوز القول (ثامر مكي علي، المصدر السابق، ص23) لان القارئ  سوف لن يميز أي مصدر تقصد هل الاول ام الثاني ،وهذا ما يسمى بنظام الاختصار فالأجدر بالباحث  ان يكتب مختصر العناوين</w:t>
      </w:r>
      <w:r>
        <w:rPr>
          <w:rFonts w:ascii="Simplified Arabic" w:hAnsi="Simplified Arabic" w:cs="Simplified Arabic" w:hint="cs"/>
          <w:sz w:val="32"/>
          <w:szCs w:val="32"/>
          <w:rtl/>
          <w:lang w:bidi="ar-IQ"/>
        </w:rPr>
        <w:t xml:space="preserve"> وبشكل موحد على طول البحث</w:t>
      </w:r>
      <w:r w:rsidRPr="00B87B34">
        <w:rPr>
          <w:rFonts w:ascii="Simplified Arabic" w:hAnsi="Simplified Arabic" w:cs="Simplified Arabic" w:hint="cs"/>
          <w:sz w:val="32"/>
          <w:szCs w:val="32"/>
          <w:rtl/>
          <w:lang w:bidi="ar-IQ"/>
        </w:rPr>
        <w:t>.</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sidRPr="00B87B34">
        <w:rPr>
          <w:rFonts w:ascii="Simplified Arabic" w:hAnsi="Simplified Arabic" w:cs="Simplified Arabic" w:hint="cs"/>
          <w:b/>
          <w:bCs/>
          <w:sz w:val="32"/>
          <w:szCs w:val="32"/>
          <w:rtl/>
          <w:lang w:bidi="ar-IQ"/>
        </w:rPr>
        <w:t>س/ ماذا تعني او ماذا تنفع</w:t>
      </w:r>
      <w:r w:rsidRPr="00B87B34">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العلامات التالية الشولتان المزدوجتان </w:t>
      </w:r>
      <w:r w:rsidRPr="00B87B34">
        <w:rPr>
          <w:rFonts w:ascii="Simplified Arabic" w:hAnsi="Simplified Arabic" w:cs="Simplified Arabic" w:hint="cs"/>
          <w:b/>
          <w:bCs/>
          <w:sz w:val="40"/>
          <w:szCs w:val="40"/>
          <w:rtl/>
          <w:lang w:bidi="ar-IQ"/>
        </w:rPr>
        <w:t xml:space="preserve">" </w:t>
      </w:r>
      <w:r>
        <w:rPr>
          <w:rFonts w:ascii="Simplified Arabic" w:hAnsi="Simplified Arabic" w:cs="Simplified Arabic" w:hint="cs"/>
          <w:b/>
          <w:bCs/>
          <w:sz w:val="40"/>
          <w:szCs w:val="40"/>
          <w:rtl/>
          <w:lang w:bidi="ar-IQ"/>
        </w:rPr>
        <w:t xml:space="preserve"> </w:t>
      </w:r>
      <w:r w:rsidRPr="00B87B34">
        <w:rPr>
          <w:rFonts w:ascii="Simplified Arabic" w:hAnsi="Simplified Arabic" w:cs="Simplified Arabic" w:hint="cs"/>
          <w:b/>
          <w:bCs/>
          <w:sz w:val="40"/>
          <w:szCs w:val="40"/>
          <w:rtl/>
          <w:lang w:bidi="ar-IQ"/>
        </w:rPr>
        <w:t>"</w:t>
      </w:r>
      <w:r>
        <w:rPr>
          <w:rFonts w:ascii="Simplified Arabic" w:hAnsi="Simplified Arabic" w:cs="Simplified Arabic" w:hint="cs"/>
          <w:b/>
          <w:bCs/>
          <w:sz w:val="40"/>
          <w:szCs w:val="40"/>
          <w:rtl/>
          <w:lang w:bidi="ar-IQ"/>
        </w:rPr>
        <w:t xml:space="preserve"> </w:t>
      </w:r>
      <w:r w:rsidRPr="00B87B34">
        <w:rPr>
          <w:rFonts w:ascii="Simplified Arabic" w:hAnsi="Simplified Arabic" w:cs="Simplified Arabic" w:hint="cs"/>
          <w:b/>
          <w:bCs/>
          <w:sz w:val="32"/>
          <w:szCs w:val="32"/>
          <w:rtl/>
          <w:lang w:bidi="ar-IQ"/>
        </w:rPr>
        <w:t xml:space="preserve">؟. </w:t>
      </w:r>
      <w:r w:rsidRPr="00B87B34">
        <w:rPr>
          <w:rFonts w:ascii="Simplified Arabic" w:hAnsi="Simplified Arabic" w:cs="Simplified Arabic" w:hint="cs"/>
          <w:sz w:val="32"/>
          <w:szCs w:val="32"/>
          <w:rtl/>
          <w:lang w:bidi="ar-IQ"/>
        </w:rPr>
        <w:t xml:space="preserve">لحالات الاقتباس الحرفية، </w:t>
      </w:r>
      <w:r>
        <w:rPr>
          <w:rFonts w:ascii="Simplified Arabic" w:hAnsi="Simplified Arabic" w:cs="Simplified Arabic" w:hint="cs"/>
          <w:sz w:val="32"/>
          <w:szCs w:val="32"/>
          <w:rtl/>
          <w:lang w:bidi="ar-IQ"/>
        </w:rPr>
        <w:t xml:space="preserve"> القوسان المركنان واللذان يستعملان اثناء التقويم والتصحيح في الهوامش، بينما توظف علامة القوسين ( ) بشكلهما الاعتيادي حول الأرقام التي وردت في جمل المتن وفي الهوامش.</w:t>
      </w:r>
    </w:p>
    <w:p w:rsidR="008952A2" w:rsidRPr="00FC2BB2" w:rsidRDefault="008952A2" w:rsidP="008952A2">
      <w:pPr>
        <w:bidi/>
        <w:spacing w:line="240" w:lineRule="auto"/>
        <w:ind w:firstLine="720"/>
        <w:jc w:val="both"/>
        <w:rPr>
          <w:rFonts w:ascii="Simplified Arabic" w:hAnsi="Simplified Arabic" w:cs="Simplified Arabic"/>
          <w:b/>
          <w:bCs/>
          <w:sz w:val="36"/>
          <w:szCs w:val="36"/>
          <w:rtl/>
          <w:lang w:bidi="ar-IQ"/>
        </w:rPr>
      </w:pPr>
      <w:r w:rsidRPr="00FC2BB2">
        <w:rPr>
          <w:rFonts w:ascii="Simplified Arabic" w:hAnsi="Simplified Arabic" w:cs="Simplified Arabic" w:hint="cs"/>
          <w:b/>
          <w:bCs/>
          <w:sz w:val="36"/>
          <w:szCs w:val="36"/>
          <w:rtl/>
          <w:lang w:bidi="ar-IQ"/>
        </w:rPr>
        <w:t>س مهم جدا/ ماذا نعني بمصطلح تبويب الهوامش؟.</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ج/ هي عملية تثبيت الهوامش بأرقام متسلسلة في اسفل متن الورقة الواحدة من البحث المستقل او الرسالة الجامعية، من اجل سهولة ارجاع القارئ الى المصادر المستعملة لأغراض المقارنة وغيرها. لكن هناك من يفضل وضعها في نهاية البحث </w:t>
      </w:r>
      <w:r>
        <w:rPr>
          <w:rFonts w:ascii="Simplified Arabic" w:hAnsi="Simplified Arabic" w:cs="Simplified Arabic" w:hint="cs"/>
          <w:sz w:val="32"/>
          <w:szCs w:val="32"/>
          <w:rtl/>
          <w:lang w:bidi="ar-IQ"/>
        </w:rPr>
        <w:lastRenderedPageBreak/>
        <w:t xml:space="preserve">مجتمعة(لا تصلح لبحوث التخرج والرسائل والاطاريح وانما لبحوث المجلات والدوريات والكتب). ومثال ذلك:   </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(1)</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ثامر مكي علي، العلاقات الإنكليزية- الاسبانية في عهد الملكة اليزابيت الأولى(1558-1603)، أطروحة دكتوراه، كلية الآداب/ جامعة بغداد، 2014، ص22.</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(2)</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قاسم شعيب عباس، المصدر السابق، ص33.</w:t>
      </w:r>
    </w:p>
    <w:p w:rsidR="008952A2" w:rsidRPr="00DE45C6"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(3)</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ثامر مكي علي، المصدر السابق، ص23.</w:t>
      </w:r>
    </w:p>
    <w:p w:rsidR="008952A2" w:rsidRDefault="008952A2" w:rsidP="008952A2">
      <w:pPr>
        <w:bidi/>
        <w:spacing w:line="240" w:lineRule="auto"/>
        <w:ind w:firstLine="720"/>
        <w:jc w:val="both"/>
        <w:rPr>
          <w:rFonts w:ascii="Simplified Arabic" w:hAnsi="Simplified Arabic" w:cs="Simplified Arabic"/>
          <w:sz w:val="32"/>
          <w:szCs w:val="32"/>
          <w:rtl/>
          <w:lang w:bidi="ar-IQ"/>
        </w:rPr>
      </w:pPr>
      <w:r w:rsidRPr="00DE45C6">
        <w:rPr>
          <w:rFonts w:ascii="Simplified Arabic" w:hAnsi="Simplified Arabic" w:cs="Simplified Arabic" w:hint="cs"/>
          <w:sz w:val="32"/>
          <w:szCs w:val="32"/>
          <w:rtl/>
          <w:lang w:bidi="ar-IQ"/>
        </w:rPr>
        <w:t>(4)</w:t>
      </w:r>
      <w:r>
        <w:rPr>
          <w:rFonts w:ascii="Simplified Arabic" w:hAnsi="Simplified Arabic" w:cs="Simplified Arabic" w:hint="cs"/>
          <w:sz w:val="32"/>
          <w:szCs w:val="32"/>
          <w:rtl/>
          <w:lang w:bidi="ar-IQ"/>
        </w:rPr>
        <w:t xml:space="preserve"> </w:t>
      </w:r>
      <w:r w:rsidRPr="00DE45C6">
        <w:rPr>
          <w:rFonts w:ascii="Simplified Arabic" w:hAnsi="Simplified Arabic" w:cs="Simplified Arabic" w:hint="cs"/>
          <w:sz w:val="32"/>
          <w:szCs w:val="32"/>
          <w:rtl/>
          <w:lang w:bidi="ar-IQ"/>
        </w:rPr>
        <w:t>المصدر نفسه.</w:t>
      </w:r>
    </w:p>
    <w:p w:rsidR="00B35F94" w:rsidRPr="008952A2" w:rsidRDefault="008952A2" w:rsidP="008952A2">
      <w:pPr>
        <w:bidi/>
        <w:rPr>
          <w:rFonts w:ascii="Simplified Arabic" w:hAnsi="Simplified Arabic" w:cs="Simplified Arabic"/>
          <w:sz w:val="32"/>
          <w:szCs w:val="32"/>
        </w:rPr>
      </w:pPr>
      <w:r>
        <w:rPr>
          <w:rFonts w:ascii="Simplified Arabic" w:hAnsi="Simplified Arabic" w:cs="Simplified Arabic" w:hint="cs"/>
          <w:sz w:val="32"/>
          <w:szCs w:val="32"/>
          <w:rtl/>
          <w:lang w:bidi="ar-IQ"/>
        </w:rPr>
        <w:t>فالأرقام التي هي بين الاقواس نعني بها التبويب.</w:t>
      </w:r>
    </w:p>
    <w:sectPr w:rsidR="00B35F94" w:rsidRPr="008952A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DA"/>
    <w:rsid w:val="005F5ADA"/>
    <w:rsid w:val="008952A2"/>
    <w:rsid w:val="00B35F94"/>
    <w:rsid w:val="00F810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191A0-C04E-425C-8A8A-64B3D609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thamir</dc:creator>
  <cp:keywords/>
  <dc:description/>
  <cp:lastModifiedBy>thamir</cp:lastModifiedBy>
  <cp:revision>4</cp:revision>
  <dcterms:created xsi:type="dcterms:W3CDTF">2018-02-17T20:28:00Z</dcterms:created>
  <dcterms:modified xsi:type="dcterms:W3CDTF">2018-02-17T20:39:00Z</dcterms:modified>
</cp:coreProperties>
</file>