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3AF" w:rsidRPr="00E973AF" w:rsidRDefault="00E973AF" w:rsidP="00E973AF">
      <w:pPr>
        <w:widowControl w:val="0"/>
        <w:bidi/>
        <w:spacing w:after="0" w:line="240" w:lineRule="auto"/>
        <w:jc w:val="both"/>
        <w:rPr>
          <w:rFonts w:ascii="Times New Roman" w:eastAsia="Times New Roman" w:hAnsi="Times New Roman" w:cs="Traditional Arabic" w:hint="cs"/>
          <w:b/>
          <w:bCs/>
          <w:color w:val="000000"/>
          <w:sz w:val="36"/>
          <w:szCs w:val="36"/>
          <w:rtl/>
          <w:lang w:eastAsia="ar-SA" w:bidi="ar-IQ"/>
        </w:rPr>
      </w:pPr>
      <w:r w:rsidRPr="00E973AF">
        <w:rPr>
          <w:rFonts w:ascii="Times New Roman" w:eastAsia="Times New Roman" w:hAnsi="Times New Roman" w:cs="Traditional Arabic" w:hint="cs"/>
          <w:b/>
          <w:bCs/>
          <w:color w:val="000000"/>
          <w:sz w:val="36"/>
          <w:szCs w:val="36"/>
          <w:rtl/>
          <w:lang w:eastAsia="ar-SA" w:bidi="ar-IQ"/>
        </w:rPr>
        <w:t xml:space="preserve">الجامعة المستنصرية </w:t>
      </w:r>
    </w:p>
    <w:p w:rsidR="00E973AF" w:rsidRPr="00E973AF" w:rsidRDefault="00E973AF" w:rsidP="00E973AF">
      <w:pPr>
        <w:widowControl w:val="0"/>
        <w:bidi/>
        <w:spacing w:after="0" w:line="240" w:lineRule="auto"/>
        <w:jc w:val="both"/>
        <w:rPr>
          <w:rFonts w:ascii="Times New Roman" w:eastAsia="Times New Roman" w:hAnsi="Times New Roman" w:cs="Traditional Arabic" w:hint="cs"/>
          <w:b/>
          <w:bCs/>
          <w:color w:val="000000"/>
          <w:sz w:val="36"/>
          <w:szCs w:val="36"/>
          <w:rtl/>
          <w:lang w:eastAsia="ar-SA" w:bidi="ar-IQ"/>
        </w:rPr>
      </w:pPr>
      <w:r w:rsidRPr="00E973AF">
        <w:rPr>
          <w:rFonts w:ascii="Times New Roman" w:eastAsia="Times New Roman" w:hAnsi="Times New Roman" w:cs="Traditional Arabic" w:hint="cs"/>
          <w:b/>
          <w:bCs/>
          <w:color w:val="000000"/>
          <w:sz w:val="36"/>
          <w:szCs w:val="36"/>
          <w:rtl/>
          <w:lang w:eastAsia="ar-SA" w:bidi="ar-IQ"/>
        </w:rPr>
        <w:t xml:space="preserve">كلية الآداب –قسم اللغة العربية </w:t>
      </w:r>
    </w:p>
    <w:p w:rsidR="00E973AF" w:rsidRPr="00E973AF" w:rsidRDefault="00E973AF" w:rsidP="00E973AF">
      <w:pPr>
        <w:widowControl w:val="0"/>
        <w:bidi/>
        <w:spacing w:after="0" w:line="240" w:lineRule="auto"/>
        <w:jc w:val="both"/>
        <w:rPr>
          <w:rFonts w:ascii="Times New Roman" w:eastAsia="Times New Roman" w:hAnsi="Times New Roman" w:cs="Traditional Arabic" w:hint="cs"/>
          <w:b/>
          <w:bCs/>
          <w:color w:val="000000"/>
          <w:sz w:val="36"/>
          <w:szCs w:val="36"/>
          <w:rtl/>
          <w:lang w:eastAsia="ar-SA" w:bidi="ar-IQ"/>
        </w:rPr>
      </w:pPr>
      <w:proofErr w:type="gramStart"/>
      <w:r w:rsidRPr="00E973AF">
        <w:rPr>
          <w:rFonts w:ascii="Times New Roman" w:eastAsia="Times New Roman" w:hAnsi="Times New Roman" w:cs="Traditional Arabic" w:hint="cs"/>
          <w:b/>
          <w:bCs/>
          <w:color w:val="000000"/>
          <w:sz w:val="36"/>
          <w:szCs w:val="36"/>
          <w:rtl/>
          <w:lang w:eastAsia="ar-SA" w:bidi="ar-IQ"/>
        </w:rPr>
        <w:t>المادة :</w:t>
      </w:r>
      <w:proofErr w:type="gramEnd"/>
      <w:r w:rsidRPr="00E973AF">
        <w:rPr>
          <w:rFonts w:ascii="Times New Roman" w:eastAsia="Times New Roman" w:hAnsi="Times New Roman" w:cs="Traditional Arabic" w:hint="cs"/>
          <w:b/>
          <w:bCs/>
          <w:color w:val="000000"/>
          <w:sz w:val="36"/>
          <w:szCs w:val="36"/>
          <w:rtl/>
          <w:lang w:eastAsia="ar-SA" w:bidi="ar-IQ"/>
        </w:rPr>
        <w:t xml:space="preserve"> فقه اللغة </w:t>
      </w:r>
    </w:p>
    <w:p w:rsidR="00E973AF" w:rsidRPr="00E973AF" w:rsidRDefault="00E973AF" w:rsidP="00E973AF">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E973AF">
        <w:rPr>
          <w:rFonts w:ascii="Times New Roman" w:eastAsia="Times New Roman" w:hAnsi="Times New Roman" w:cs="Traditional Arabic" w:hint="cs"/>
          <w:b/>
          <w:bCs/>
          <w:color w:val="000000"/>
          <w:sz w:val="36"/>
          <w:szCs w:val="36"/>
          <w:rtl/>
          <w:lang w:eastAsia="ar-SA" w:bidi="ar-IQ"/>
        </w:rPr>
        <w:t xml:space="preserve">مدرس </w:t>
      </w:r>
      <w:proofErr w:type="gramStart"/>
      <w:r w:rsidRPr="00E973AF">
        <w:rPr>
          <w:rFonts w:ascii="Times New Roman" w:eastAsia="Times New Roman" w:hAnsi="Times New Roman" w:cs="Traditional Arabic" w:hint="cs"/>
          <w:b/>
          <w:bCs/>
          <w:color w:val="000000"/>
          <w:sz w:val="36"/>
          <w:szCs w:val="36"/>
          <w:rtl/>
          <w:lang w:eastAsia="ar-SA" w:bidi="ar-IQ"/>
        </w:rPr>
        <w:t>المادة :</w:t>
      </w:r>
      <w:proofErr w:type="gramEnd"/>
      <w:r w:rsidRPr="00E973AF">
        <w:rPr>
          <w:rFonts w:ascii="Times New Roman" w:eastAsia="Times New Roman" w:hAnsi="Times New Roman" w:cs="Traditional Arabic" w:hint="cs"/>
          <w:b/>
          <w:bCs/>
          <w:color w:val="000000"/>
          <w:sz w:val="36"/>
          <w:szCs w:val="36"/>
          <w:rtl/>
          <w:lang w:eastAsia="ar-SA" w:bidi="ar-IQ"/>
        </w:rPr>
        <w:t xml:space="preserve"> </w:t>
      </w:r>
      <w:proofErr w:type="spellStart"/>
      <w:r w:rsidRPr="00E973AF">
        <w:rPr>
          <w:rFonts w:ascii="Times New Roman" w:eastAsia="Times New Roman" w:hAnsi="Times New Roman" w:cs="Traditional Arabic" w:hint="cs"/>
          <w:b/>
          <w:bCs/>
          <w:color w:val="000000"/>
          <w:sz w:val="36"/>
          <w:szCs w:val="36"/>
          <w:rtl/>
          <w:lang w:eastAsia="ar-SA" w:bidi="ar-IQ"/>
        </w:rPr>
        <w:t>ا.د</w:t>
      </w:r>
      <w:proofErr w:type="spellEnd"/>
      <w:r w:rsidRPr="00E973AF">
        <w:rPr>
          <w:rFonts w:ascii="Times New Roman" w:eastAsia="Times New Roman" w:hAnsi="Times New Roman" w:cs="Traditional Arabic" w:hint="cs"/>
          <w:b/>
          <w:bCs/>
          <w:color w:val="000000"/>
          <w:sz w:val="36"/>
          <w:szCs w:val="36"/>
          <w:rtl/>
          <w:lang w:eastAsia="ar-SA" w:bidi="ar-IQ"/>
        </w:rPr>
        <w:t>. صالح هادي</w:t>
      </w:r>
    </w:p>
    <w:p w:rsidR="00E973AF" w:rsidRPr="00E973AF" w:rsidRDefault="00E973AF" w:rsidP="00E973AF">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E973AF">
        <w:rPr>
          <w:rFonts w:ascii="Times New Roman" w:eastAsia="Times New Roman" w:hAnsi="Times New Roman" w:cs="Traditional Arabic" w:hint="cs"/>
          <w:b/>
          <w:bCs/>
          <w:color w:val="000000"/>
          <w:sz w:val="36"/>
          <w:szCs w:val="36"/>
          <w:rtl/>
          <w:lang w:eastAsia="ar-SA" w:bidi="ar-IQ"/>
        </w:rPr>
        <w:t xml:space="preserve">تسلسل المحاضرة </w:t>
      </w:r>
      <w:proofErr w:type="gramStart"/>
      <w:r w:rsidRPr="00E973AF">
        <w:rPr>
          <w:rFonts w:ascii="Times New Roman" w:eastAsia="Times New Roman" w:hAnsi="Times New Roman" w:cs="Traditional Arabic" w:hint="cs"/>
          <w:b/>
          <w:bCs/>
          <w:color w:val="000000"/>
          <w:sz w:val="36"/>
          <w:szCs w:val="36"/>
          <w:rtl/>
          <w:lang w:eastAsia="ar-SA" w:bidi="ar-IQ"/>
        </w:rPr>
        <w:t>( 20</w:t>
      </w:r>
      <w:proofErr w:type="gramEnd"/>
      <w:r w:rsidRPr="00E973AF">
        <w:rPr>
          <w:rFonts w:ascii="Times New Roman" w:eastAsia="Times New Roman" w:hAnsi="Times New Roman" w:cs="Traditional Arabic" w:hint="cs"/>
          <w:b/>
          <w:bCs/>
          <w:color w:val="000000"/>
          <w:sz w:val="36"/>
          <w:szCs w:val="36"/>
          <w:rtl/>
          <w:lang w:eastAsia="ar-SA" w:bidi="ar-IQ"/>
        </w:rPr>
        <w:t xml:space="preserve">) </w:t>
      </w:r>
    </w:p>
    <w:p w:rsidR="00E973AF" w:rsidRPr="00E973AF" w:rsidRDefault="00E973AF" w:rsidP="00E973AF">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E973AF">
        <w:rPr>
          <w:rFonts w:ascii="Times New Roman" w:eastAsia="Times New Roman" w:hAnsi="Times New Roman" w:cs="Traditional Arabic" w:hint="cs"/>
          <w:b/>
          <w:bCs/>
          <w:color w:val="000000"/>
          <w:sz w:val="52"/>
          <w:szCs w:val="52"/>
          <w:rtl/>
          <w:lang w:eastAsia="ar-SA" w:bidi="ar-IQ"/>
        </w:rPr>
        <w:t>شبهات حول الاعراب</w:t>
      </w:r>
    </w:p>
    <w:p w:rsidR="00E973AF" w:rsidRPr="00E973AF" w:rsidRDefault="00E973AF" w:rsidP="00E973AF">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E973AF">
        <w:rPr>
          <w:rFonts w:ascii="Times New Roman" w:eastAsia="Times New Roman" w:hAnsi="Times New Roman" w:cs="Traditional Arabic"/>
          <w:b/>
          <w:bCs/>
          <w:color w:val="000000"/>
          <w:sz w:val="36"/>
          <w:szCs w:val="36"/>
          <w:rtl/>
          <w:lang w:eastAsia="ar-SA" w:bidi="ar-IQ"/>
        </w:rPr>
        <w:t xml:space="preserve">ما ذهب إليه المستشرق </w:t>
      </w:r>
      <w:proofErr w:type="spellStart"/>
      <w:r w:rsidRPr="00E973AF">
        <w:rPr>
          <w:rFonts w:ascii="Times New Roman" w:eastAsia="Times New Roman" w:hAnsi="Times New Roman" w:cs="Traditional Arabic"/>
          <w:b/>
          <w:bCs/>
          <w:color w:val="000000"/>
          <w:sz w:val="36"/>
          <w:szCs w:val="36"/>
          <w:rtl/>
          <w:lang w:eastAsia="ar-SA" w:bidi="ar-IQ"/>
        </w:rPr>
        <w:t>فولرز</w:t>
      </w:r>
      <w:proofErr w:type="spellEnd"/>
      <w:r w:rsidRPr="00E973AF">
        <w:rPr>
          <w:rFonts w:ascii="Times New Roman" w:eastAsia="Times New Roman" w:hAnsi="Times New Roman" w:cs="Traditional Arabic"/>
          <w:b/>
          <w:bCs/>
          <w:color w:val="000000"/>
          <w:sz w:val="36"/>
          <w:szCs w:val="36"/>
          <w:rtl/>
          <w:lang w:eastAsia="ar-SA" w:bidi="ar-IQ"/>
        </w:rPr>
        <w:t xml:space="preserve"> </w:t>
      </w:r>
      <w:r w:rsidRPr="00E973AF">
        <w:rPr>
          <w:rFonts w:ascii="Times New Roman" w:eastAsia="Times New Roman" w:hAnsi="Times New Roman" w:cs="Traditional Arabic"/>
          <w:b/>
          <w:bCs/>
          <w:color w:val="000000"/>
          <w:sz w:val="36"/>
          <w:szCs w:val="36"/>
          <w:lang w:eastAsia="ar-SA" w:bidi="ar-IQ"/>
        </w:rPr>
        <w:t xml:space="preserve">K. </w:t>
      </w:r>
      <w:proofErr w:type="spellStart"/>
      <w:proofErr w:type="gramStart"/>
      <w:r w:rsidRPr="00E973AF">
        <w:rPr>
          <w:rFonts w:ascii="Times New Roman" w:eastAsia="Times New Roman" w:hAnsi="Times New Roman" w:cs="Traditional Arabic"/>
          <w:b/>
          <w:bCs/>
          <w:color w:val="000000"/>
          <w:sz w:val="36"/>
          <w:szCs w:val="36"/>
          <w:lang w:eastAsia="ar-SA" w:bidi="ar-IQ"/>
        </w:rPr>
        <w:t>Vollers</w:t>
      </w:r>
      <w:proofErr w:type="spellEnd"/>
      <w:r w:rsidRPr="00E973AF">
        <w:rPr>
          <w:rFonts w:ascii="Times New Roman" w:eastAsia="Times New Roman" w:hAnsi="Times New Roman" w:cs="Traditional Arabic"/>
          <w:b/>
          <w:bCs/>
          <w:color w:val="000000"/>
          <w:sz w:val="36"/>
          <w:szCs w:val="36"/>
          <w:rtl/>
          <w:lang w:eastAsia="ar-SA" w:bidi="ar-IQ"/>
        </w:rPr>
        <w:t xml:space="preserve">  أن</w:t>
      </w:r>
      <w:proofErr w:type="gramEnd"/>
      <w:r w:rsidRPr="00E973AF">
        <w:rPr>
          <w:rFonts w:ascii="Times New Roman" w:eastAsia="Times New Roman" w:hAnsi="Times New Roman" w:cs="Traditional Arabic"/>
          <w:b/>
          <w:bCs/>
          <w:color w:val="000000"/>
          <w:sz w:val="36"/>
          <w:szCs w:val="36"/>
          <w:rtl/>
          <w:lang w:eastAsia="ar-SA" w:bidi="ar-IQ"/>
        </w:rPr>
        <w:t xml:space="preserve"> القرآن نزل أول الأمر بلهجة مكة المجردة من ظاهرة الإعراب؛ ثم نقَّحَه العلماء على ما ارتضوه من قواعد ومقاييس، حتى أضحى يقرأ بهذا البيان العذب الصافي، وغدا في الفصاحة مضرب الأمثال؟!</w:t>
      </w:r>
    </w:p>
    <w:p w:rsidR="00E973AF" w:rsidRPr="00E973AF" w:rsidRDefault="00E973AF" w:rsidP="00E973AF">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E973AF">
        <w:rPr>
          <w:rFonts w:ascii="Times New Roman" w:eastAsia="Times New Roman" w:hAnsi="Times New Roman" w:cs="Traditional Arabic"/>
          <w:b/>
          <w:bCs/>
          <w:color w:val="000000"/>
          <w:sz w:val="36"/>
          <w:szCs w:val="36"/>
          <w:rtl/>
          <w:lang w:eastAsia="ar-SA" w:bidi="ar-IQ"/>
        </w:rPr>
        <w:t xml:space="preserve">ألَا وإن كبار المستشرقين لم يستسيغوا هذا الرأي </w:t>
      </w:r>
      <w:proofErr w:type="gramStart"/>
      <w:r w:rsidRPr="00E973AF">
        <w:rPr>
          <w:rFonts w:ascii="Times New Roman" w:eastAsia="Times New Roman" w:hAnsi="Times New Roman" w:cs="Traditional Arabic"/>
          <w:b/>
          <w:bCs/>
          <w:color w:val="000000"/>
          <w:sz w:val="36"/>
          <w:szCs w:val="36"/>
          <w:rtl/>
          <w:lang w:eastAsia="ar-SA" w:bidi="ar-IQ"/>
        </w:rPr>
        <w:t>العقيم,</w:t>
      </w:r>
      <w:proofErr w:type="gramEnd"/>
      <w:r w:rsidRPr="00E973AF">
        <w:rPr>
          <w:rFonts w:ascii="Times New Roman" w:eastAsia="Times New Roman" w:hAnsi="Times New Roman" w:cs="Traditional Arabic"/>
          <w:b/>
          <w:bCs/>
          <w:color w:val="000000"/>
          <w:sz w:val="36"/>
          <w:szCs w:val="36"/>
          <w:rtl/>
          <w:lang w:eastAsia="ar-SA" w:bidi="ar-IQ"/>
        </w:rPr>
        <w:t xml:space="preserve"> فلقد قَيَّضَ الله لكتابه مستشرقًا آخر أشهر من </w:t>
      </w:r>
      <w:proofErr w:type="spellStart"/>
      <w:r w:rsidRPr="00E973AF">
        <w:rPr>
          <w:rFonts w:ascii="Times New Roman" w:eastAsia="Times New Roman" w:hAnsi="Times New Roman" w:cs="Traditional Arabic"/>
          <w:b/>
          <w:bCs/>
          <w:color w:val="000000"/>
          <w:sz w:val="36"/>
          <w:szCs w:val="36"/>
          <w:rtl/>
          <w:lang w:eastAsia="ar-SA" w:bidi="ar-IQ"/>
        </w:rPr>
        <w:t>فولرز</w:t>
      </w:r>
      <w:proofErr w:type="spellEnd"/>
      <w:r w:rsidRPr="00E973AF">
        <w:rPr>
          <w:rFonts w:ascii="Times New Roman" w:eastAsia="Times New Roman" w:hAnsi="Times New Roman" w:cs="Traditional Arabic"/>
          <w:b/>
          <w:bCs/>
          <w:color w:val="000000"/>
          <w:sz w:val="36"/>
          <w:szCs w:val="36"/>
          <w:rtl/>
          <w:lang w:eastAsia="ar-SA" w:bidi="ar-IQ"/>
        </w:rPr>
        <w:t xml:space="preserve">, وأكثر منه تحقيقًا وتدقيقًا, هو </w:t>
      </w:r>
      <w:proofErr w:type="spellStart"/>
      <w:r w:rsidRPr="00E973AF">
        <w:rPr>
          <w:rFonts w:ascii="Times New Roman" w:eastAsia="Times New Roman" w:hAnsi="Times New Roman" w:cs="Traditional Arabic"/>
          <w:b/>
          <w:bCs/>
          <w:color w:val="000000"/>
          <w:sz w:val="36"/>
          <w:szCs w:val="36"/>
          <w:rtl/>
          <w:lang w:eastAsia="ar-SA" w:bidi="ar-IQ"/>
        </w:rPr>
        <w:t>نولدكه</w:t>
      </w:r>
      <w:proofErr w:type="spellEnd"/>
      <w:r w:rsidRPr="00E973AF">
        <w:rPr>
          <w:rFonts w:ascii="Times New Roman" w:eastAsia="Times New Roman" w:hAnsi="Times New Roman" w:cs="Traditional Arabic"/>
          <w:b/>
          <w:bCs/>
          <w:color w:val="000000"/>
          <w:sz w:val="36"/>
          <w:szCs w:val="36"/>
          <w:rtl/>
          <w:lang w:eastAsia="ar-SA" w:bidi="ar-IQ"/>
        </w:rPr>
        <w:t xml:space="preserve"> </w:t>
      </w:r>
      <w:proofErr w:type="spellStart"/>
      <w:r w:rsidRPr="00E973AF">
        <w:rPr>
          <w:rFonts w:ascii="Times New Roman" w:eastAsia="Times New Roman" w:hAnsi="Times New Roman" w:cs="Traditional Arabic"/>
          <w:b/>
          <w:bCs/>
          <w:color w:val="000000"/>
          <w:sz w:val="36"/>
          <w:szCs w:val="36"/>
          <w:lang w:eastAsia="ar-SA" w:bidi="ar-IQ"/>
        </w:rPr>
        <w:t>Noldeke</w:t>
      </w:r>
      <w:proofErr w:type="spellEnd"/>
      <w:r w:rsidRPr="00E973AF">
        <w:rPr>
          <w:rFonts w:ascii="Times New Roman" w:eastAsia="Times New Roman" w:hAnsi="Times New Roman" w:cs="Traditional Arabic"/>
          <w:b/>
          <w:bCs/>
          <w:color w:val="000000"/>
          <w:sz w:val="36"/>
          <w:szCs w:val="36"/>
          <w:rtl/>
          <w:lang w:eastAsia="ar-SA" w:bidi="ar-IQ"/>
        </w:rPr>
        <w:t xml:space="preserve">، كفانا مؤونة الرد على هذه الرأي الصبياني وسفهه, وفنَّدَه ونقده نقدًا علميًّا موضوعيًّا، أقام فيه الحجة على أن أغلب ما توهمه </w:t>
      </w:r>
      <w:proofErr w:type="spellStart"/>
      <w:r w:rsidRPr="00E973AF">
        <w:rPr>
          <w:rFonts w:ascii="Times New Roman" w:eastAsia="Times New Roman" w:hAnsi="Times New Roman" w:cs="Traditional Arabic"/>
          <w:b/>
          <w:bCs/>
          <w:color w:val="000000"/>
          <w:sz w:val="36"/>
          <w:szCs w:val="36"/>
          <w:rtl/>
          <w:lang w:eastAsia="ar-SA" w:bidi="ar-IQ"/>
        </w:rPr>
        <w:t>فولرز</w:t>
      </w:r>
      <w:proofErr w:type="spellEnd"/>
      <w:r w:rsidRPr="00E973AF">
        <w:rPr>
          <w:rFonts w:ascii="Times New Roman" w:eastAsia="Times New Roman" w:hAnsi="Times New Roman" w:cs="Traditional Arabic"/>
          <w:b/>
          <w:bCs/>
          <w:color w:val="000000"/>
          <w:sz w:val="36"/>
          <w:szCs w:val="36"/>
          <w:rtl/>
          <w:lang w:eastAsia="ar-SA" w:bidi="ar-IQ"/>
        </w:rPr>
        <w:t xml:space="preserve"> تجردًا من الإعراب إنما كان صورًا من تساهل الناس في القراءة بعد اختلاطهم بالأعاجم وشيوع اللحن والتحريف، فليس للنص القرآني صلة بشيء من هذه </w:t>
      </w:r>
      <w:proofErr w:type="spellStart"/>
      <w:r w:rsidRPr="00E973AF">
        <w:rPr>
          <w:rFonts w:ascii="Times New Roman" w:eastAsia="Times New Roman" w:hAnsi="Times New Roman" w:cs="Traditional Arabic"/>
          <w:b/>
          <w:bCs/>
          <w:color w:val="000000"/>
          <w:sz w:val="36"/>
          <w:szCs w:val="36"/>
          <w:rtl/>
          <w:lang w:eastAsia="ar-SA" w:bidi="ar-IQ"/>
        </w:rPr>
        <w:t>الملاحن</w:t>
      </w:r>
      <w:proofErr w:type="spellEnd"/>
      <w:r w:rsidRPr="00E973AF">
        <w:rPr>
          <w:rFonts w:ascii="Times New Roman" w:eastAsia="Times New Roman" w:hAnsi="Times New Roman" w:cs="Traditional Arabic"/>
          <w:b/>
          <w:bCs/>
          <w:color w:val="000000"/>
          <w:sz w:val="36"/>
          <w:szCs w:val="36"/>
          <w:rtl/>
          <w:lang w:eastAsia="ar-SA" w:bidi="ar-IQ"/>
        </w:rPr>
        <w:t xml:space="preserve"> من قريب أو من بعيد.</w:t>
      </w:r>
      <w:r w:rsidRPr="00E973AF">
        <w:rPr>
          <w:rFonts w:ascii="Traditional Arabic" w:eastAsia="Times New Roman" w:hAnsi="Traditional Arabic" w:cs="Traditional Arabic"/>
          <w:b/>
          <w:bCs/>
          <w:color w:val="000000"/>
          <w:sz w:val="44"/>
          <w:szCs w:val="44"/>
          <w:rtl/>
          <w:lang w:bidi="ar-IQ"/>
        </w:rPr>
        <w:t xml:space="preserve"> </w:t>
      </w:r>
      <w:r w:rsidRPr="00E973AF">
        <w:rPr>
          <w:rFonts w:ascii="Times New Roman" w:eastAsia="Times New Roman" w:hAnsi="Times New Roman" w:cs="Traditional Arabic"/>
          <w:b/>
          <w:bCs/>
          <w:color w:val="000000"/>
          <w:sz w:val="36"/>
          <w:szCs w:val="36"/>
          <w:rtl/>
          <w:lang w:eastAsia="ar-SA" w:bidi="ar-IQ"/>
        </w:rPr>
        <w:t xml:space="preserve">هذا الإجماع أو شبه الإجماع على انفراد العربية بظاهرة الإعراب لم يقبله بعض المستشرقين إلّا مقيدًا مشروطًا، فهذا كوهين </w:t>
      </w:r>
      <w:r w:rsidRPr="00E973AF">
        <w:rPr>
          <w:rFonts w:ascii="Times New Roman" w:eastAsia="Times New Roman" w:hAnsi="Times New Roman" w:cs="Traditional Arabic"/>
          <w:b/>
          <w:bCs/>
          <w:color w:val="000000"/>
          <w:sz w:val="36"/>
          <w:szCs w:val="36"/>
          <w:lang w:eastAsia="ar-SA" w:bidi="ar-IQ"/>
        </w:rPr>
        <w:t>Cohen</w:t>
      </w:r>
      <w:r w:rsidRPr="00E973AF">
        <w:rPr>
          <w:rFonts w:ascii="Times New Roman" w:eastAsia="Times New Roman" w:hAnsi="Times New Roman" w:cs="Traditional Arabic"/>
          <w:b/>
          <w:bCs/>
          <w:color w:val="000000"/>
          <w:sz w:val="36"/>
          <w:szCs w:val="36"/>
          <w:rtl/>
          <w:lang w:eastAsia="ar-SA" w:bidi="ar-IQ"/>
        </w:rPr>
        <w:t xml:space="preserve"> مثلًا في "لغات العالم</w:t>
      </w:r>
      <w:proofErr w:type="gramStart"/>
      <w:r w:rsidRPr="00E973AF">
        <w:rPr>
          <w:rFonts w:ascii="Times New Roman" w:eastAsia="Times New Roman" w:hAnsi="Times New Roman" w:cs="Traditional Arabic"/>
          <w:b/>
          <w:bCs/>
          <w:color w:val="000000"/>
          <w:sz w:val="36"/>
          <w:szCs w:val="36"/>
          <w:rtl/>
          <w:lang w:eastAsia="ar-SA" w:bidi="ar-IQ"/>
        </w:rPr>
        <w:t>",</w:t>
      </w:r>
      <w:proofErr w:type="gramEnd"/>
      <w:r w:rsidRPr="00E973AF">
        <w:rPr>
          <w:rFonts w:ascii="Times New Roman" w:eastAsia="Times New Roman" w:hAnsi="Times New Roman" w:cs="Traditional Arabic"/>
          <w:b/>
          <w:bCs/>
          <w:color w:val="000000"/>
          <w:sz w:val="36"/>
          <w:szCs w:val="36"/>
          <w:rtl/>
          <w:lang w:eastAsia="ar-SA" w:bidi="ar-IQ"/>
        </w:rPr>
        <w:t xml:space="preserve"> لا ينكر وجود الإعراب في اللغة المثالية الأدبية؛ لغة الشعر والخطابة في الجاهلية والإسلام، ولكنه يستبعد مراعاتها في لهجات الحديث بين عرب الجاهلية، ويقيم رأيه على ملاحظتين فاسدتين:</w:t>
      </w:r>
    </w:p>
    <w:p w:rsidR="00E973AF" w:rsidRPr="00E973AF" w:rsidRDefault="00E973AF" w:rsidP="00E973AF">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E973AF">
        <w:rPr>
          <w:rFonts w:ascii="Times New Roman" w:eastAsia="Times New Roman" w:hAnsi="Times New Roman" w:cs="Traditional Arabic"/>
          <w:b/>
          <w:bCs/>
          <w:color w:val="000000"/>
          <w:sz w:val="36"/>
          <w:szCs w:val="36"/>
          <w:rtl/>
          <w:lang w:eastAsia="ar-SA" w:bidi="ar-IQ"/>
        </w:rPr>
        <w:t xml:space="preserve">إما أحدهما: فهي تشعب هذه الضوابط الإعرابية </w:t>
      </w:r>
      <w:proofErr w:type="gramStart"/>
      <w:r w:rsidRPr="00E973AF">
        <w:rPr>
          <w:rFonts w:ascii="Times New Roman" w:eastAsia="Times New Roman" w:hAnsi="Times New Roman" w:cs="Traditional Arabic"/>
          <w:b/>
          <w:bCs/>
          <w:color w:val="000000"/>
          <w:sz w:val="36"/>
          <w:szCs w:val="36"/>
          <w:rtl/>
          <w:lang w:eastAsia="ar-SA" w:bidi="ar-IQ"/>
        </w:rPr>
        <w:t>ودقتها,</w:t>
      </w:r>
      <w:proofErr w:type="gramEnd"/>
      <w:r w:rsidRPr="00E973AF">
        <w:rPr>
          <w:rFonts w:ascii="Times New Roman" w:eastAsia="Times New Roman" w:hAnsi="Times New Roman" w:cs="Traditional Arabic"/>
          <w:b/>
          <w:bCs/>
          <w:color w:val="000000"/>
          <w:sz w:val="36"/>
          <w:szCs w:val="36"/>
          <w:rtl/>
          <w:lang w:eastAsia="ar-SA" w:bidi="ar-IQ"/>
        </w:rPr>
        <w:t xml:space="preserve"> إلى درجة يتعذر تطبيقها؛ وأما الثانية: فهي تجرد جميع اللهجات العامية الحديثة المتفرعة من العربية من آثار الإعراب وقوانينه.</w:t>
      </w:r>
      <w:r w:rsidRPr="00E973AF">
        <w:rPr>
          <w:rFonts w:ascii="Traditional Arabic" w:eastAsia="Times New Roman" w:hAnsi="Traditional Arabic" w:cs="Traditional Arabic"/>
          <w:b/>
          <w:bCs/>
          <w:color w:val="000000"/>
          <w:sz w:val="44"/>
          <w:szCs w:val="44"/>
          <w:rtl/>
          <w:lang w:bidi="ar-IQ"/>
        </w:rPr>
        <w:t xml:space="preserve"> </w:t>
      </w:r>
      <w:r w:rsidRPr="00E973AF">
        <w:rPr>
          <w:rFonts w:ascii="Times New Roman" w:eastAsia="Times New Roman" w:hAnsi="Times New Roman" w:cs="Traditional Arabic"/>
          <w:b/>
          <w:bCs/>
          <w:color w:val="000000"/>
          <w:sz w:val="36"/>
          <w:szCs w:val="36"/>
          <w:rtl/>
          <w:lang w:eastAsia="ar-SA" w:bidi="ar-IQ"/>
        </w:rPr>
        <w:t xml:space="preserve">ولم تتجرد اللهجات العربية الحديثة كلها من آثار الإعراب، فما تبرح هذه الآثار ظاهرةً في أقوال البُداة من مواطن متفرقة من العالم العربي، كأنها تجميد لبقايا يستحيل عليها العدم التام، </w:t>
      </w:r>
      <w:r w:rsidRPr="00E973AF">
        <w:rPr>
          <w:rFonts w:ascii="Times New Roman" w:eastAsia="Times New Roman" w:hAnsi="Times New Roman" w:cs="Traditional Arabic"/>
          <w:b/>
          <w:bCs/>
          <w:color w:val="000000"/>
          <w:sz w:val="36"/>
          <w:szCs w:val="36"/>
          <w:rtl/>
          <w:lang w:eastAsia="ar-SA" w:bidi="ar-IQ"/>
        </w:rPr>
        <w:lastRenderedPageBreak/>
        <w:t>والاضمحلال المطلق2، أو كأن طبيعة هذه اللغة العربية تأبى عليها أن تفقد ظاهرة الإعراب إلى الأبد, وليس في وسع باحث محقق أن ينكر احتفاظ البدو الفصحاء بالإعراب حتى زمن الجاحظ، فإن أديب العربية الكبير كان يحض الرواة والمتأدبين في "البيان والتبين" على الاختلاف إلى الفصحاء العقلاء من الأعراب؛ ليستمعوا بأحاديثهم العذاب، ثم يرووها بمخارج ألفاظها وإعراب تراكيبه</w:t>
      </w:r>
    </w:p>
    <w:p w:rsidR="00C84E46" w:rsidRDefault="00E973AF">
      <w:pPr>
        <w:rPr>
          <w:lang w:bidi="ar-IQ"/>
        </w:rPr>
      </w:pPr>
      <w:bookmarkStart w:id="0" w:name="_GoBack"/>
      <w:bookmarkEnd w:id="0"/>
    </w:p>
    <w:sectPr w:rsidR="00C84E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3AF"/>
    <w:rsid w:val="007C599F"/>
    <w:rsid w:val="00B56E55"/>
    <w:rsid w:val="00E973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62237-EBBF-4BCC-9DAC-2857EC8E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Dr.sabah</dc:creator>
  <cp:keywords/>
  <dc:description/>
  <cp:lastModifiedBy>Dr.sabah</cp:lastModifiedBy>
  <cp:revision>1</cp:revision>
  <dcterms:created xsi:type="dcterms:W3CDTF">2018-01-26T08:14:00Z</dcterms:created>
  <dcterms:modified xsi:type="dcterms:W3CDTF">2018-01-26T08:14:00Z</dcterms:modified>
</cp:coreProperties>
</file>