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198" w:rsidRPr="00A02198" w:rsidRDefault="00A02198" w:rsidP="00A02198">
      <w:pPr>
        <w:widowControl w:val="0"/>
        <w:bidi/>
        <w:spacing w:after="0" w:line="240" w:lineRule="auto"/>
        <w:jc w:val="both"/>
        <w:rPr>
          <w:rFonts w:ascii="Cambria" w:eastAsia="Times New Roman" w:hAnsi="Cambria" w:cs="Traditional Arabic" w:hint="cs"/>
          <w:b/>
          <w:bCs/>
          <w:color w:val="000000"/>
          <w:sz w:val="36"/>
          <w:szCs w:val="36"/>
          <w:rtl/>
          <w:lang w:eastAsia="ar-SA" w:bidi="ar-IQ"/>
        </w:rPr>
      </w:pPr>
      <w:r w:rsidRPr="00A02198">
        <w:rPr>
          <w:rFonts w:ascii="Cambria" w:eastAsia="Times New Roman" w:hAnsi="Cambria" w:cs="Traditional Arabic" w:hint="cs"/>
          <w:b/>
          <w:bCs/>
          <w:color w:val="000000"/>
          <w:sz w:val="36"/>
          <w:szCs w:val="36"/>
          <w:rtl/>
          <w:lang w:eastAsia="ar-SA" w:bidi="ar-IQ"/>
        </w:rPr>
        <w:t xml:space="preserve">الجامعة المستنصرية </w:t>
      </w:r>
    </w:p>
    <w:p w:rsidR="00A02198" w:rsidRPr="00A02198" w:rsidRDefault="00A02198" w:rsidP="00A02198">
      <w:pPr>
        <w:widowControl w:val="0"/>
        <w:bidi/>
        <w:spacing w:after="0" w:line="240" w:lineRule="auto"/>
        <w:jc w:val="both"/>
        <w:rPr>
          <w:rFonts w:ascii="Cambria" w:eastAsia="Times New Roman" w:hAnsi="Cambria" w:cs="Traditional Arabic" w:hint="cs"/>
          <w:b/>
          <w:bCs/>
          <w:color w:val="000000"/>
          <w:sz w:val="36"/>
          <w:szCs w:val="36"/>
          <w:rtl/>
          <w:lang w:eastAsia="ar-SA" w:bidi="ar-IQ"/>
        </w:rPr>
      </w:pPr>
      <w:r w:rsidRPr="00A02198">
        <w:rPr>
          <w:rFonts w:ascii="Cambria" w:eastAsia="Times New Roman" w:hAnsi="Cambria" w:cs="Traditional Arabic" w:hint="cs"/>
          <w:b/>
          <w:bCs/>
          <w:color w:val="000000"/>
          <w:sz w:val="36"/>
          <w:szCs w:val="36"/>
          <w:rtl/>
          <w:lang w:eastAsia="ar-SA" w:bidi="ar-IQ"/>
        </w:rPr>
        <w:t xml:space="preserve">كلية الآداب –قسم اللغة العربية </w:t>
      </w:r>
    </w:p>
    <w:p w:rsidR="00A02198" w:rsidRPr="00A02198" w:rsidRDefault="00A02198" w:rsidP="00A02198">
      <w:pPr>
        <w:widowControl w:val="0"/>
        <w:bidi/>
        <w:spacing w:after="0" w:line="240" w:lineRule="auto"/>
        <w:jc w:val="both"/>
        <w:rPr>
          <w:rFonts w:ascii="Cambria" w:eastAsia="Times New Roman" w:hAnsi="Cambria" w:cs="Traditional Arabic" w:hint="cs"/>
          <w:b/>
          <w:bCs/>
          <w:color w:val="000000"/>
          <w:sz w:val="36"/>
          <w:szCs w:val="36"/>
          <w:rtl/>
          <w:lang w:eastAsia="ar-SA" w:bidi="ar-IQ"/>
        </w:rPr>
      </w:pPr>
      <w:proofErr w:type="gramStart"/>
      <w:r w:rsidRPr="00A02198">
        <w:rPr>
          <w:rFonts w:ascii="Cambria" w:eastAsia="Times New Roman" w:hAnsi="Cambria" w:cs="Traditional Arabic" w:hint="cs"/>
          <w:b/>
          <w:bCs/>
          <w:color w:val="000000"/>
          <w:sz w:val="36"/>
          <w:szCs w:val="36"/>
          <w:rtl/>
          <w:lang w:eastAsia="ar-SA" w:bidi="ar-IQ"/>
        </w:rPr>
        <w:t>المادة :</w:t>
      </w:r>
      <w:proofErr w:type="gramEnd"/>
      <w:r w:rsidRPr="00A02198">
        <w:rPr>
          <w:rFonts w:ascii="Cambria" w:eastAsia="Times New Roman" w:hAnsi="Cambria" w:cs="Traditional Arabic" w:hint="cs"/>
          <w:b/>
          <w:bCs/>
          <w:color w:val="000000"/>
          <w:sz w:val="36"/>
          <w:szCs w:val="36"/>
          <w:rtl/>
          <w:lang w:eastAsia="ar-SA" w:bidi="ar-IQ"/>
        </w:rPr>
        <w:t xml:space="preserve"> فقه اللغة </w:t>
      </w:r>
    </w:p>
    <w:p w:rsidR="00A02198" w:rsidRPr="00A02198" w:rsidRDefault="00A02198" w:rsidP="00A02198">
      <w:pPr>
        <w:widowControl w:val="0"/>
        <w:bidi/>
        <w:spacing w:after="0" w:line="240" w:lineRule="auto"/>
        <w:jc w:val="both"/>
        <w:rPr>
          <w:rFonts w:ascii="Cambria" w:eastAsia="Times New Roman" w:hAnsi="Cambria" w:cs="Traditional Arabic"/>
          <w:b/>
          <w:bCs/>
          <w:color w:val="000000"/>
          <w:sz w:val="36"/>
          <w:szCs w:val="36"/>
          <w:rtl/>
          <w:lang w:eastAsia="ar-SA" w:bidi="ar-IQ"/>
        </w:rPr>
      </w:pPr>
      <w:r w:rsidRPr="00A02198">
        <w:rPr>
          <w:rFonts w:ascii="Cambria" w:eastAsia="Times New Roman" w:hAnsi="Cambria" w:cs="Traditional Arabic" w:hint="cs"/>
          <w:b/>
          <w:bCs/>
          <w:color w:val="000000"/>
          <w:sz w:val="36"/>
          <w:szCs w:val="36"/>
          <w:rtl/>
          <w:lang w:eastAsia="ar-SA" w:bidi="ar-IQ"/>
        </w:rPr>
        <w:t xml:space="preserve">مدرس </w:t>
      </w:r>
      <w:proofErr w:type="gramStart"/>
      <w:r w:rsidRPr="00A02198">
        <w:rPr>
          <w:rFonts w:ascii="Cambria" w:eastAsia="Times New Roman" w:hAnsi="Cambria" w:cs="Traditional Arabic" w:hint="cs"/>
          <w:b/>
          <w:bCs/>
          <w:color w:val="000000"/>
          <w:sz w:val="36"/>
          <w:szCs w:val="36"/>
          <w:rtl/>
          <w:lang w:eastAsia="ar-SA" w:bidi="ar-IQ"/>
        </w:rPr>
        <w:t>المادة :</w:t>
      </w:r>
      <w:proofErr w:type="gramEnd"/>
      <w:r w:rsidRPr="00A02198">
        <w:rPr>
          <w:rFonts w:ascii="Cambria" w:eastAsia="Times New Roman" w:hAnsi="Cambria" w:cs="Traditional Arabic" w:hint="cs"/>
          <w:b/>
          <w:bCs/>
          <w:color w:val="000000"/>
          <w:sz w:val="36"/>
          <w:szCs w:val="36"/>
          <w:rtl/>
          <w:lang w:eastAsia="ar-SA" w:bidi="ar-IQ"/>
        </w:rPr>
        <w:t xml:space="preserve"> </w:t>
      </w:r>
      <w:proofErr w:type="spellStart"/>
      <w:r w:rsidRPr="00A02198">
        <w:rPr>
          <w:rFonts w:ascii="Cambria" w:eastAsia="Times New Roman" w:hAnsi="Cambria" w:cs="Traditional Arabic" w:hint="cs"/>
          <w:b/>
          <w:bCs/>
          <w:color w:val="000000"/>
          <w:sz w:val="36"/>
          <w:szCs w:val="36"/>
          <w:rtl/>
          <w:lang w:eastAsia="ar-SA" w:bidi="ar-IQ"/>
        </w:rPr>
        <w:t>ا.د</w:t>
      </w:r>
      <w:proofErr w:type="spellEnd"/>
      <w:r w:rsidRPr="00A02198">
        <w:rPr>
          <w:rFonts w:ascii="Cambria" w:eastAsia="Times New Roman" w:hAnsi="Cambria" w:cs="Traditional Arabic" w:hint="cs"/>
          <w:b/>
          <w:bCs/>
          <w:color w:val="000000"/>
          <w:sz w:val="36"/>
          <w:szCs w:val="36"/>
          <w:rtl/>
          <w:lang w:eastAsia="ar-SA" w:bidi="ar-IQ"/>
        </w:rPr>
        <w:t>. صالح هادي</w:t>
      </w:r>
    </w:p>
    <w:p w:rsidR="00A02198" w:rsidRPr="00A02198" w:rsidRDefault="00A02198" w:rsidP="00A02198">
      <w:pPr>
        <w:widowControl w:val="0"/>
        <w:bidi/>
        <w:spacing w:after="0" w:line="240" w:lineRule="auto"/>
        <w:jc w:val="both"/>
        <w:rPr>
          <w:rFonts w:ascii="Cambria" w:eastAsia="Times New Roman" w:hAnsi="Cambria" w:cs="Traditional Arabic"/>
          <w:b/>
          <w:bCs/>
          <w:color w:val="000000"/>
          <w:sz w:val="36"/>
          <w:szCs w:val="36"/>
          <w:rtl/>
          <w:lang w:eastAsia="ar-SA" w:bidi="ar-IQ"/>
        </w:rPr>
      </w:pPr>
      <w:r w:rsidRPr="00A02198">
        <w:rPr>
          <w:rFonts w:ascii="Cambria" w:eastAsia="Times New Roman" w:hAnsi="Cambria" w:cs="Traditional Arabic" w:hint="cs"/>
          <w:b/>
          <w:bCs/>
          <w:color w:val="000000"/>
          <w:sz w:val="36"/>
          <w:szCs w:val="36"/>
          <w:rtl/>
          <w:lang w:eastAsia="ar-SA" w:bidi="ar-IQ"/>
        </w:rPr>
        <w:t xml:space="preserve">تسلسل المحاضرة </w:t>
      </w:r>
      <w:proofErr w:type="gramStart"/>
      <w:r w:rsidRPr="00A02198">
        <w:rPr>
          <w:rFonts w:ascii="Cambria" w:eastAsia="Times New Roman" w:hAnsi="Cambria" w:cs="Traditional Arabic" w:hint="cs"/>
          <w:b/>
          <w:bCs/>
          <w:color w:val="000000"/>
          <w:sz w:val="36"/>
          <w:szCs w:val="36"/>
          <w:rtl/>
          <w:lang w:eastAsia="ar-SA" w:bidi="ar-IQ"/>
        </w:rPr>
        <w:t>( 13</w:t>
      </w:r>
      <w:proofErr w:type="gramEnd"/>
      <w:r w:rsidRPr="00A02198">
        <w:rPr>
          <w:rFonts w:ascii="Cambria" w:eastAsia="Times New Roman" w:hAnsi="Cambria" w:cs="Traditional Arabic" w:hint="cs"/>
          <w:b/>
          <w:bCs/>
          <w:color w:val="000000"/>
          <w:sz w:val="36"/>
          <w:szCs w:val="36"/>
          <w:rtl/>
          <w:lang w:eastAsia="ar-SA" w:bidi="ar-IQ"/>
        </w:rPr>
        <w:t xml:space="preserve">) </w:t>
      </w:r>
    </w:p>
    <w:p w:rsidR="00A02198" w:rsidRPr="00A02198" w:rsidRDefault="00A02198" w:rsidP="00A02198">
      <w:pPr>
        <w:widowControl w:val="0"/>
        <w:bidi/>
        <w:spacing w:after="0" w:line="240" w:lineRule="auto"/>
        <w:jc w:val="both"/>
        <w:rPr>
          <w:rFonts w:ascii="Cambria" w:eastAsia="Times New Roman" w:hAnsi="Cambria" w:cs="Traditional Arabic"/>
          <w:b/>
          <w:bCs/>
          <w:color w:val="000000"/>
          <w:sz w:val="36"/>
          <w:szCs w:val="36"/>
          <w:rtl/>
          <w:lang w:eastAsia="ar-SA" w:bidi="ar-IQ"/>
        </w:rPr>
      </w:pPr>
      <w:r w:rsidRPr="00A02198">
        <w:rPr>
          <w:rFonts w:ascii="Cambria" w:eastAsia="Times New Roman" w:hAnsi="Cambria" w:cs="Traditional Arabic" w:hint="cs"/>
          <w:b/>
          <w:bCs/>
          <w:color w:val="000000"/>
          <w:sz w:val="36"/>
          <w:szCs w:val="36"/>
          <w:rtl/>
          <w:lang w:eastAsia="ar-SA" w:bidi="ar-IQ"/>
        </w:rPr>
        <w:t xml:space="preserve">راي ابن جني في اللغة واللهجة </w:t>
      </w:r>
    </w:p>
    <w:p w:rsidR="00A02198" w:rsidRPr="00A02198" w:rsidRDefault="00A02198" w:rsidP="00A02198">
      <w:pPr>
        <w:widowControl w:val="0"/>
        <w:bidi/>
        <w:spacing w:after="0" w:line="240" w:lineRule="auto"/>
        <w:jc w:val="both"/>
        <w:rPr>
          <w:rFonts w:ascii="Cambria" w:eastAsia="Times New Roman" w:hAnsi="Cambria" w:cs="Traditional Arabic"/>
          <w:b/>
          <w:bCs/>
          <w:color w:val="000000"/>
          <w:sz w:val="36"/>
          <w:szCs w:val="36"/>
          <w:rtl/>
          <w:lang w:eastAsia="ar-SA" w:bidi="ar-IQ"/>
        </w:rPr>
      </w:pPr>
    </w:p>
    <w:p w:rsidR="00A02198" w:rsidRPr="00A02198" w:rsidRDefault="00A02198" w:rsidP="00A02198">
      <w:pPr>
        <w:widowControl w:val="0"/>
        <w:bidi/>
        <w:spacing w:after="0" w:line="240" w:lineRule="auto"/>
        <w:ind w:firstLine="454"/>
        <w:jc w:val="both"/>
        <w:rPr>
          <w:rFonts w:ascii="Times New Roman" w:eastAsia="Times New Roman" w:hAnsi="Times New Roman" w:cs="Traditional Arabic"/>
          <w:b/>
          <w:bCs/>
          <w:color w:val="000000"/>
          <w:sz w:val="36"/>
          <w:szCs w:val="36"/>
          <w:rtl/>
          <w:lang w:eastAsia="ar-SA" w:bidi="ar-IQ"/>
        </w:rPr>
      </w:pPr>
      <w:r w:rsidRPr="00A02198">
        <w:rPr>
          <w:rFonts w:ascii="Times New Roman" w:eastAsia="Times New Roman" w:hAnsi="Times New Roman" w:cs="Traditional Arabic"/>
          <w:b/>
          <w:bCs/>
          <w:color w:val="000000"/>
          <w:sz w:val="36"/>
          <w:szCs w:val="36"/>
          <w:rtl/>
          <w:lang w:eastAsia="ar-SA" w:bidi="ar-IQ"/>
        </w:rPr>
        <w:t>يخلص ابن جني إلى تداخل اللغات وتركّبها، فيصم بضعف النظر وقلة الفهم كل من يفسر هذا التداخل بالشذوذ، أو ينسبه إلى الوضع في أصل اللغة، ولا يتردد في الاحتجاج لثبوت تركب اللغات بحكاية يرويها عن الأصمعي</w:t>
      </w:r>
      <w:r w:rsidRPr="00A02198">
        <w:rPr>
          <w:rFonts w:ascii="Times New Roman" w:eastAsia="Times New Roman" w:hAnsi="Times New Roman" w:cs="Traditional Arabic" w:hint="cs"/>
          <w:b/>
          <w:bCs/>
          <w:color w:val="000000"/>
          <w:sz w:val="36"/>
          <w:szCs w:val="36"/>
          <w:rtl/>
          <w:lang w:eastAsia="ar-SA" w:bidi="ar-IQ"/>
        </w:rPr>
        <w:t xml:space="preserve"> </w:t>
      </w:r>
      <w:r w:rsidRPr="00A02198">
        <w:rPr>
          <w:rFonts w:ascii="Times New Roman" w:eastAsia="Times New Roman" w:hAnsi="Times New Roman" w:cs="Traditional Arabic"/>
          <w:b/>
          <w:bCs/>
          <w:color w:val="000000"/>
          <w:sz w:val="36"/>
          <w:szCs w:val="36"/>
          <w:rtl/>
          <w:lang w:eastAsia="ar-SA" w:bidi="ar-IQ"/>
        </w:rPr>
        <w:t xml:space="preserve">أنه قال: "اختلف رجلان في الصقر، فقال أحدهما: "الصقر" بالصاد، وقال الآخر: "السقر" بالسين، فتراضيا بأول وراد عليهما، فحكيا له ما هما فيه، فقال: لا أقول كما </w:t>
      </w:r>
      <w:proofErr w:type="gramStart"/>
      <w:r w:rsidRPr="00A02198">
        <w:rPr>
          <w:rFonts w:ascii="Times New Roman" w:eastAsia="Times New Roman" w:hAnsi="Times New Roman" w:cs="Traditional Arabic"/>
          <w:b/>
          <w:bCs/>
          <w:color w:val="000000"/>
          <w:sz w:val="36"/>
          <w:szCs w:val="36"/>
          <w:rtl/>
          <w:lang w:eastAsia="ar-SA" w:bidi="ar-IQ"/>
        </w:rPr>
        <w:t>قلتما,</w:t>
      </w:r>
      <w:proofErr w:type="gramEnd"/>
      <w:r w:rsidRPr="00A02198">
        <w:rPr>
          <w:rFonts w:ascii="Times New Roman" w:eastAsia="Times New Roman" w:hAnsi="Times New Roman" w:cs="Traditional Arabic"/>
          <w:b/>
          <w:bCs/>
          <w:color w:val="000000"/>
          <w:sz w:val="36"/>
          <w:szCs w:val="36"/>
          <w:rtl/>
          <w:lang w:eastAsia="ar-SA" w:bidi="ar-IQ"/>
        </w:rPr>
        <w:t xml:space="preserve"> إنما هو "الزقر! </w:t>
      </w:r>
      <w:proofErr w:type="gramStart"/>
      <w:r w:rsidRPr="00A02198">
        <w:rPr>
          <w:rFonts w:ascii="Times New Roman" w:eastAsia="Times New Roman" w:hAnsi="Times New Roman" w:cs="Traditional Arabic"/>
          <w:b/>
          <w:bCs/>
          <w:color w:val="000000"/>
          <w:sz w:val="36"/>
          <w:szCs w:val="36"/>
          <w:rtl/>
          <w:lang w:eastAsia="ar-SA" w:bidi="ar-IQ"/>
        </w:rPr>
        <w:t>",</w:t>
      </w:r>
      <w:proofErr w:type="gramEnd"/>
      <w:r w:rsidRPr="00A02198">
        <w:rPr>
          <w:rFonts w:ascii="Times New Roman" w:eastAsia="Times New Roman" w:hAnsi="Times New Roman" w:cs="Traditional Arabic"/>
          <w:b/>
          <w:bCs/>
          <w:color w:val="000000"/>
          <w:sz w:val="36"/>
          <w:szCs w:val="36"/>
          <w:rtl/>
          <w:lang w:eastAsia="ar-SA" w:bidi="ar-IQ"/>
        </w:rPr>
        <w:t xml:space="preserve"> ويعلق ابن جني على هذا بقوله: "أفلا ترى إلى كل واحد من الثلاثة، كيف أفاد في هذه الحالة، إلى لغته لغتين أخريين معها؟ وهكذا تتداخل اللغات!</w:t>
      </w:r>
      <w:r w:rsidRPr="00A02198">
        <w:rPr>
          <w:rFonts w:ascii="Times New Roman" w:eastAsia="Times New Roman" w:hAnsi="Times New Roman" w:cs="Traditional Arabic" w:hint="cs"/>
          <w:b/>
          <w:bCs/>
          <w:color w:val="000000"/>
          <w:sz w:val="36"/>
          <w:szCs w:val="36"/>
          <w:rtl/>
          <w:lang w:eastAsia="ar-SA" w:bidi="ar-IQ"/>
        </w:rPr>
        <w:t xml:space="preserve"> </w:t>
      </w:r>
      <w:r w:rsidRPr="00A02198">
        <w:rPr>
          <w:rFonts w:ascii="Times New Roman" w:eastAsia="Times New Roman" w:hAnsi="Times New Roman" w:cs="Traditional Arabic"/>
          <w:b/>
          <w:bCs/>
          <w:color w:val="000000"/>
          <w:sz w:val="36"/>
          <w:szCs w:val="36"/>
          <w:rtl/>
          <w:lang w:eastAsia="ar-SA" w:bidi="ar-IQ"/>
        </w:rPr>
        <w:t>و</w:t>
      </w:r>
      <w:r w:rsidRPr="00A02198">
        <w:rPr>
          <w:rFonts w:ascii="Times New Roman" w:eastAsia="Times New Roman" w:hAnsi="Times New Roman" w:cs="Traditional Arabic" w:hint="cs"/>
          <w:b/>
          <w:bCs/>
          <w:color w:val="000000"/>
          <w:sz w:val="36"/>
          <w:szCs w:val="36"/>
          <w:rtl/>
          <w:lang w:eastAsia="ar-SA" w:bidi="ar-IQ"/>
        </w:rPr>
        <w:t xml:space="preserve">العرب </w:t>
      </w:r>
      <w:r w:rsidRPr="00A02198">
        <w:rPr>
          <w:rFonts w:ascii="Times New Roman" w:eastAsia="Times New Roman" w:hAnsi="Times New Roman" w:cs="Traditional Arabic"/>
          <w:b/>
          <w:bCs/>
          <w:color w:val="000000"/>
          <w:sz w:val="36"/>
          <w:szCs w:val="36"/>
          <w:rtl/>
          <w:lang w:eastAsia="ar-SA" w:bidi="ar-IQ"/>
        </w:rPr>
        <w:t>لشعورهم بعدم توفرهم على دراسة هذا الموضوع دراسة دقيقة عميقة- كانوا يتخلصون من اختلاف اللهجات بالاعتراف بتساويها جميعًا في جواز الاحتجاج بها</w:t>
      </w:r>
      <w:r w:rsidRPr="00A02198">
        <w:rPr>
          <w:rFonts w:ascii="Times New Roman" w:eastAsia="Times New Roman" w:hAnsi="Times New Roman" w:cs="Traditional Arabic" w:hint="cs"/>
          <w:b/>
          <w:bCs/>
          <w:color w:val="000000"/>
          <w:sz w:val="36"/>
          <w:szCs w:val="36"/>
          <w:rtl/>
          <w:lang w:eastAsia="ar-SA" w:bidi="ar-IQ"/>
        </w:rPr>
        <w:t xml:space="preserve"> </w:t>
      </w:r>
      <w:r w:rsidRPr="00A02198">
        <w:rPr>
          <w:rFonts w:ascii="Times New Roman" w:eastAsia="Times New Roman" w:hAnsi="Times New Roman" w:cs="Traditional Arabic"/>
          <w:b/>
          <w:bCs/>
          <w:color w:val="000000"/>
          <w:sz w:val="36"/>
          <w:szCs w:val="36"/>
          <w:rtl/>
          <w:lang w:eastAsia="ar-SA" w:bidi="ar-IQ"/>
        </w:rPr>
        <w:t xml:space="preserve">وعلى هذا الأساس من تساوي جميع اللهجات العربية في جواز الاحتجاج بها، </w:t>
      </w:r>
      <w:r w:rsidRPr="00A02198">
        <w:rPr>
          <w:rFonts w:ascii="Times New Roman" w:eastAsia="Times New Roman" w:hAnsi="Times New Roman" w:cs="Traditional Arabic" w:hint="cs"/>
          <w:b/>
          <w:bCs/>
          <w:color w:val="000000"/>
          <w:sz w:val="36"/>
          <w:szCs w:val="36"/>
          <w:rtl/>
          <w:lang w:eastAsia="ar-SA" w:bidi="ar-IQ"/>
        </w:rPr>
        <w:t>و</w:t>
      </w:r>
      <w:r w:rsidRPr="00A02198">
        <w:rPr>
          <w:rFonts w:ascii="Times New Roman" w:eastAsia="Times New Roman" w:hAnsi="Times New Roman" w:cs="Traditional Arabic"/>
          <w:b/>
          <w:bCs/>
          <w:color w:val="000000"/>
          <w:sz w:val="36"/>
          <w:szCs w:val="36"/>
          <w:rtl/>
          <w:lang w:eastAsia="ar-SA" w:bidi="ar-IQ"/>
        </w:rPr>
        <w:t xml:space="preserve">لم تكن ثمة بواعث قوية تحمل القدامى على العناية باللهجات عناية خاصة، فوقعوا في كثير من التناقص حين استنبطوا قواعدهم النحوية والصرفية من كل ما روي عن القبائل، وأقحموا على الفصحى خصائص اللهجات المتباينة بوجوهها المتعددة، ولم يصدروا -كما قال الأستاذ سعيد الأفغاني- في تنسيق شواهدهم عن خطة محكمة شاملة؛ فأنت تجد في البحث من بحوثهم قواعد عدة، هذه تستند إلى كلام رجل من قبيلة أسد، وتلك إلى كلام رجل من تميم، والثالثة إلى كلمة لقرشيّ, وتجد على القاعدة تفريعًا دعا إليه بيت لشاعر جاهلي، واستثناء مبنيًّا على شاهد واحد اضطر فيه الشاعر إلى أن يركب الوعر حتى يستقيم له وزن البيت!! ". ومنشأ </w:t>
      </w:r>
      <w:r w:rsidRPr="00A02198">
        <w:rPr>
          <w:rFonts w:ascii="Times New Roman" w:eastAsia="Times New Roman" w:hAnsi="Times New Roman" w:cs="Traditional Arabic"/>
          <w:b/>
          <w:bCs/>
          <w:color w:val="000000"/>
          <w:sz w:val="36"/>
          <w:szCs w:val="36"/>
          <w:rtl/>
          <w:lang w:eastAsia="ar-SA" w:bidi="ar-IQ"/>
        </w:rPr>
        <w:lastRenderedPageBreak/>
        <w:t>هذا كله خلطهم بين اللغة الأدبية المثالية الموحدة, التي هي لغة الخاصة, وبين لهجات التخاطب العامة لدى القبائل الكثيرة المشهورة، على حين أنَّ شرط اللغة هو الاطراد والتوحيد في الخصائص</w:t>
      </w:r>
      <w:r w:rsidRPr="00A02198">
        <w:rPr>
          <w:rFonts w:ascii="Times New Roman" w:eastAsia="Times New Roman" w:hAnsi="Times New Roman" w:cs="Traditional Arabic" w:hint="cs"/>
          <w:b/>
          <w:bCs/>
          <w:color w:val="000000"/>
          <w:sz w:val="36"/>
          <w:szCs w:val="36"/>
          <w:rtl/>
          <w:lang w:eastAsia="ar-SA" w:bidi="ar-IQ"/>
        </w:rPr>
        <w:t xml:space="preserve">   </w:t>
      </w:r>
      <w:r w:rsidRPr="00A02198">
        <w:rPr>
          <w:rFonts w:ascii="Times New Roman" w:eastAsia="Times New Roman" w:hAnsi="Times New Roman" w:cs="Traditional Arabic"/>
          <w:b/>
          <w:bCs/>
          <w:color w:val="000000"/>
          <w:sz w:val="36"/>
          <w:szCs w:val="36"/>
          <w:rtl/>
          <w:lang w:eastAsia="ar-SA" w:bidi="ar-IQ"/>
        </w:rPr>
        <w:t xml:space="preserve">والحق أن العرب -ككل شعوب العالم- كانوا قبل الإسلام وبعده منقسمين إلى فئتين؛ فئة الخاصة التي كانت تتطلع إلى صقل لغتها وتحسينها، فتسمو في تعابيرها إلى مستوى أرفع من مستوى التخاطب العادي، وفئة العامة التي كانت تكتفي بحظ قليل من فصاحة القول وبلاغة </w:t>
      </w:r>
      <w:proofErr w:type="spellStart"/>
      <w:r w:rsidRPr="00A02198">
        <w:rPr>
          <w:rFonts w:ascii="Times New Roman" w:eastAsia="Times New Roman" w:hAnsi="Times New Roman" w:cs="Traditional Arabic"/>
          <w:b/>
          <w:bCs/>
          <w:color w:val="000000"/>
          <w:sz w:val="36"/>
          <w:szCs w:val="36"/>
          <w:rtl/>
          <w:lang w:eastAsia="ar-SA" w:bidi="ar-IQ"/>
        </w:rPr>
        <w:t>اللتعبير</w:t>
      </w:r>
      <w:proofErr w:type="spellEnd"/>
      <w:r w:rsidRPr="00A02198">
        <w:rPr>
          <w:rFonts w:ascii="Times New Roman" w:eastAsia="Times New Roman" w:hAnsi="Times New Roman" w:cs="Traditional Arabic"/>
          <w:b/>
          <w:bCs/>
          <w:color w:val="000000"/>
          <w:sz w:val="36"/>
          <w:szCs w:val="36"/>
          <w:rtl/>
          <w:lang w:eastAsia="ar-SA" w:bidi="ar-IQ"/>
        </w:rPr>
        <w:t xml:space="preserve">، وتمضي تبعًا لتقاليدها الخاصة وبيئاتها الجغرافية الخاصة إلى الاستقلال في صياغة جملها وتركيب مفرداتها ولحن أصواتها. ومما لا ريب فيه أن البيئة الحضرية في مكة والمدينة كانت بضرورة الحال تختلف لهجاتها عن لهجات البيئات البدوية المنعزلة التي لا تكاد تستقر على </w:t>
      </w:r>
      <w:proofErr w:type="gramStart"/>
      <w:r w:rsidRPr="00A02198">
        <w:rPr>
          <w:rFonts w:ascii="Times New Roman" w:eastAsia="Times New Roman" w:hAnsi="Times New Roman" w:cs="Traditional Arabic"/>
          <w:b/>
          <w:bCs/>
          <w:color w:val="000000"/>
          <w:sz w:val="36"/>
          <w:szCs w:val="36"/>
          <w:rtl/>
          <w:lang w:eastAsia="ar-SA" w:bidi="ar-IQ"/>
        </w:rPr>
        <w:t>حال,</w:t>
      </w:r>
      <w:proofErr w:type="gramEnd"/>
      <w:r w:rsidRPr="00A02198">
        <w:rPr>
          <w:rFonts w:ascii="Times New Roman" w:eastAsia="Times New Roman" w:hAnsi="Times New Roman" w:cs="Traditional Arabic"/>
          <w:b/>
          <w:bCs/>
          <w:color w:val="000000"/>
          <w:sz w:val="36"/>
          <w:szCs w:val="36"/>
          <w:rtl/>
          <w:lang w:eastAsia="ar-SA" w:bidi="ar-IQ"/>
        </w:rPr>
        <w:t xml:space="preserve"> فمهما تكن اللغة العربية قد صُقِلَت وتوحدت قبل الإسلام، ومهما تكن وحدتها قد قويت وتمت بعد الإسلام، لا يسعنا أن نتصورها إذ ذاك إلّا مؤلفة من وحدات لغوية مستقلة منعزلة, متمثلة في قبائلها الكثيرة المتعددة. على أن الكتب التي عرضت لتلك اللهجات كثيرًا ما تغفل أسماء قبائل معينة تنسب إليها لهجةٌ ما</w:t>
      </w:r>
    </w:p>
    <w:p w:rsidR="00C84E46" w:rsidRDefault="00A02198">
      <w:pPr>
        <w:rPr>
          <w:lang w:bidi="ar-IQ"/>
        </w:rPr>
      </w:pPr>
      <w:bookmarkStart w:id="0" w:name="_GoBack"/>
      <w:bookmarkEnd w:id="0"/>
    </w:p>
    <w:sectPr w:rsidR="00C84E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198"/>
    <w:rsid w:val="007C599F"/>
    <w:rsid w:val="00A02198"/>
    <w:rsid w:val="00B56E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26C99-04E4-4B85-9428-3F2118D2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Dr.sabah</dc:creator>
  <cp:keywords/>
  <dc:description/>
  <cp:lastModifiedBy>Dr.sabah</cp:lastModifiedBy>
  <cp:revision>1</cp:revision>
  <dcterms:created xsi:type="dcterms:W3CDTF">2018-01-26T08:11:00Z</dcterms:created>
  <dcterms:modified xsi:type="dcterms:W3CDTF">2018-01-26T08:11:00Z</dcterms:modified>
</cp:coreProperties>
</file>