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</w:pPr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 xml:space="preserve">الجامعة المستنصرية </w:t>
      </w: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</w:pPr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 xml:space="preserve">كلية الآداب –قسم اللغة العربية </w:t>
      </w: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</w:pPr>
      <w:proofErr w:type="gramStart"/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>المادة :</w:t>
      </w:r>
      <w:proofErr w:type="gramEnd"/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 xml:space="preserve"> فقه اللغة </w:t>
      </w: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52"/>
          <w:szCs w:val="52"/>
          <w:rtl/>
          <w:lang w:eastAsia="ar-SA" w:bidi="ar-IQ"/>
        </w:rPr>
      </w:pPr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 xml:space="preserve">مدرس </w:t>
      </w:r>
      <w:proofErr w:type="gramStart"/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>المادة :</w:t>
      </w:r>
      <w:proofErr w:type="gramEnd"/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 xml:space="preserve"> </w:t>
      </w:r>
      <w:proofErr w:type="spellStart"/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>ا.د</w:t>
      </w:r>
      <w:proofErr w:type="spellEnd"/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>. صالح هادي</w:t>
      </w: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52"/>
          <w:szCs w:val="52"/>
          <w:rtl/>
          <w:lang w:eastAsia="ar-SA" w:bidi="ar-IQ"/>
        </w:rPr>
      </w:pPr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 xml:space="preserve">تسلسل المحاضرة </w:t>
      </w:r>
      <w:proofErr w:type="gramStart"/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>( 5</w:t>
      </w:r>
      <w:proofErr w:type="gramEnd"/>
      <w:r w:rsidRPr="00557F48">
        <w:rPr>
          <w:rFonts w:ascii="Times New Roman" w:eastAsia="Times New Roman" w:hAnsi="Times New Roman" w:cs="Traditional Arabic" w:hint="cs"/>
          <w:b/>
          <w:bCs/>
          <w:color w:val="000000"/>
          <w:sz w:val="52"/>
          <w:szCs w:val="52"/>
          <w:rtl/>
          <w:lang w:eastAsia="ar-SA" w:bidi="ar-IQ"/>
        </w:rPr>
        <w:t xml:space="preserve">) </w:t>
      </w: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52"/>
          <w:szCs w:val="52"/>
          <w:rtl/>
          <w:lang w:eastAsia="ar-SA" w:bidi="ar-IQ"/>
        </w:rPr>
      </w:pP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52"/>
          <w:szCs w:val="52"/>
          <w:rtl/>
          <w:lang w:eastAsia="ar-SA" w:bidi="ar-IQ"/>
        </w:rPr>
      </w:pPr>
      <w:r w:rsidRPr="00557F48">
        <w:rPr>
          <w:rFonts w:ascii="Times New Roman" w:eastAsia="Times New Roman" w:hAnsi="Times New Roman" w:cs="Traditional Arabic"/>
          <w:b/>
          <w:bCs/>
          <w:color w:val="000000"/>
          <w:sz w:val="52"/>
          <w:szCs w:val="52"/>
          <w:rtl/>
          <w:lang w:eastAsia="ar-SA" w:bidi="ar-IQ"/>
        </w:rPr>
        <w:t>تطور التأليف في فقه اللغة عند العرب:</w:t>
      </w: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إن التأليف في فقه اللغة قد مَرَّ بأدوار جديرة أن تسجل، تقف الباحث على نشأة هذا العلم </w:t>
      </w:r>
      <w:proofErr w:type="gram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وتطوره,</w:t>
      </w:r>
      <w:proofErr w:type="gram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وإن من العسير استيعاب جميع الكتب المتعلقة بفقه اللغة تعلقًا غير مباشر؛ كالمصنفات النحوية والصرفية، والمباحث البلاغية, ووجوه القراءات المتواترة والشاذة, فلا بد لنا أن نقصر حديثنا على </w:t>
      </w:r>
      <w:proofErr w:type="spell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التآليف</w:t>
      </w:r>
      <w:proofErr w:type="spell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التي توفر أصحابها على دارسة ما يرتبط ارتباطًا قويًّا بفقه اللغة علمًا مستقلًّا قائمًا بنفسه، لا يناقض التعريف الذي قدمناه له.</w:t>
      </w: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لعل أقدم ما وصلنا من هذه الدراسات مباحث الأصمعي "أبي سعيد عبد الملك بن قُرَيْب</w:t>
      </w:r>
      <w:proofErr w:type="gram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",</w:t>
      </w:r>
      <w:proofErr w:type="gram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المتوفي سنة 215هـ, عن الاشتقاق في العربية، وفي </w:t>
      </w:r>
      <w:proofErr w:type="spell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تسمتيتها</w:t>
      </w:r>
      <w:proofErr w:type="spell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فقه اللغة كثير من للتجوز؛ لأنها لا تعدو ملاحظات عامة اتسع القول فيها فيما بعد، وأوضحت جزءًا هامًّا من هذا العلم العظيم.</w:t>
      </w:r>
    </w:p>
    <w:p w:rsidR="00557F48" w:rsidRPr="00557F48" w:rsidRDefault="00557F48" w:rsidP="00557F4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ثم أنشأ ابن جني "أبو الفتح عثمان" المتوفي سنة 392</w:t>
      </w:r>
      <w:proofErr w:type="gram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هـ,</w:t>
      </w:r>
      <w:proofErr w:type="gram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الفقيه اللغوي العبقري كتابه "الخصائص", وراح يناقش فيه بفكره الثاقب ومنطقه السليم أبحاثًا خطيرة في أصل اللغة "أإلهام هي أم اصطلاح" وفي مقاييس العربية، واطرادها وشذوذها، </w:t>
      </w:r>
      <w:proofErr w:type="spell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وتصاقب</w:t>
      </w:r>
      <w:proofErr w:type="spell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ألفاظها </w:t>
      </w:r>
      <w:proofErr w:type="spell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لتصاقب</w:t>
      </w:r>
      <w:proofErr w:type="spell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معانيها، واتفاق اللفظين واختلاف المعنيين، والاشتقاق الأكبر، وتركب اللغات، واختلاف </w:t>
      </w:r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lastRenderedPageBreak/>
        <w:t>اللهجات, ومع أن "خصائص" ابن جني أجدر الكتب أن تسمى بفقه اللغة، ضنَّ عليها مؤلفها بهذا الاسم!</w:t>
      </w:r>
      <w:r w:rsidRPr="00557F48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  <w:lang w:eastAsia="ar-SA" w:bidi="ar-IQ"/>
        </w:rPr>
        <w:t xml:space="preserve"> </w:t>
      </w:r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أما أحمد بن فارس "أبو الحسين القزويني" المتوفي سنة 395</w:t>
      </w:r>
      <w:proofErr w:type="gram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هـ,</w:t>
      </w:r>
      <w:proofErr w:type="gram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وهو أستاذ الصاحب بن عباد, المتوفي سنة 385هـ, فقد خلع على مباحثه في نشأة العربية اسم: "الصاحبي في فقه اللغة, وسنن العرب في كلامها"، وذهب إلى أن اللغة إلهام وتوقيف، مستدلًّا بقوله تعالى: {وَعَلَّمَ آَدَمَ الْأَسْمَاءَ كُلَّهَا} . على أنه ضمَّن كتابه هذا بعض المباحث الهامة حقًّا في فقه العربية؛ كخصائص هذه اللغة، </w:t>
      </w:r>
      <w:proofErr w:type="gramStart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واشتقاقها,</w:t>
      </w:r>
      <w:proofErr w:type="gramEnd"/>
      <w:r w:rsidRPr="00557F4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وقياسها، ومترادفها, ومجازها, واشتراكها, ونحتها، واختلاف لغاته ولهجاتها.</w:t>
      </w:r>
    </w:p>
    <w:p w:rsidR="00C84E46" w:rsidRDefault="00557F48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48"/>
    <w:rsid w:val="00557F48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277B-8E68-47BE-B88C-62920DB1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2018-01-26T08:07:00Z</dcterms:created>
  <dcterms:modified xsi:type="dcterms:W3CDTF">2018-01-26T08:07:00Z</dcterms:modified>
</cp:coreProperties>
</file>