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5" w:rsidRDefault="00864C65" w:rsidP="00864C65">
      <w:pPr>
        <w:widowControl w:val="0"/>
        <w:bidi/>
        <w:spacing w:after="0" w:line="240" w:lineRule="auto"/>
        <w:ind w:left="985"/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</w:pPr>
      <w:bookmarkStart w:id="0" w:name="_GoBack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الجامعة المستنصرية </w:t>
      </w:r>
    </w:p>
    <w:p w:rsidR="00864C65" w:rsidRDefault="00864C65" w:rsidP="00864C65">
      <w:pPr>
        <w:widowControl w:val="0"/>
        <w:bidi/>
        <w:spacing w:after="0" w:line="240" w:lineRule="auto"/>
        <w:ind w:left="985"/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كلية الآداب </w:t>
      </w:r>
      <w:r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eastAsia="ar-SA" w:bidi="ar-IQ"/>
        </w:rPr>
        <w:t>–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قسم اللغة العربية </w:t>
      </w:r>
    </w:p>
    <w:p w:rsidR="00864C65" w:rsidRDefault="00864C65" w:rsidP="00864C65">
      <w:pPr>
        <w:widowControl w:val="0"/>
        <w:bidi/>
        <w:spacing w:after="0" w:line="240" w:lineRule="auto"/>
        <w:ind w:left="985"/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</w:pPr>
      <w:proofErr w:type="gramStart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>المادة :</w:t>
      </w:r>
      <w:proofErr w:type="gramEnd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 فقه اللغة </w:t>
      </w:r>
    </w:p>
    <w:p w:rsidR="00864C65" w:rsidRDefault="00864C65" w:rsidP="00864C65">
      <w:pPr>
        <w:widowControl w:val="0"/>
        <w:bidi/>
        <w:spacing w:after="0" w:line="240" w:lineRule="auto"/>
        <w:ind w:left="985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مدرس </w:t>
      </w:r>
      <w:proofErr w:type="gramStart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>المادة :</w:t>
      </w:r>
      <w:proofErr w:type="gramEnd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>ا.د</w:t>
      </w:r>
      <w:proofErr w:type="spellEnd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>. صالح هادي</w:t>
      </w:r>
    </w:p>
    <w:p w:rsidR="00864C65" w:rsidRPr="00864C65" w:rsidRDefault="00864C65" w:rsidP="00864C65">
      <w:pPr>
        <w:widowControl w:val="0"/>
        <w:bidi/>
        <w:spacing w:after="0" w:line="240" w:lineRule="auto"/>
        <w:ind w:left="985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تسلسل المحاضرة </w:t>
      </w:r>
      <w:proofErr w:type="gramStart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>( 0</w:t>
      </w:r>
      <w:proofErr w:type="gramEnd"/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ar-SA" w:bidi="ar-IQ"/>
        </w:rPr>
        <w:t xml:space="preserve"> ) </w:t>
      </w:r>
    </w:p>
    <w:bookmarkEnd w:id="0"/>
    <w:p w:rsidR="00864C65" w:rsidRPr="00864C65" w:rsidRDefault="00864C65" w:rsidP="00864C65">
      <w:pPr>
        <w:widowControl w:val="0"/>
        <w:bidi/>
        <w:spacing w:after="0" w:line="240" w:lineRule="auto"/>
        <w:ind w:left="985"/>
        <w:jc w:val="center"/>
        <w:rPr>
          <w:rFonts w:ascii="Times New Roman" w:eastAsia="Times New Roman" w:hAnsi="Times New Roman" w:cs="Traditional Arabic"/>
          <w:b/>
          <w:bCs/>
          <w:color w:val="000000"/>
          <w:sz w:val="96"/>
          <w:szCs w:val="9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96"/>
          <w:szCs w:val="96"/>
          <w:rtl/>
          <w:lang w:eastAsia="ar-SA" w:bidi="ar-IQ"/>
        </w:rPr>
        <w:t>فقه اللغة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     المرحلة الرابعة/قسم اللغة العربية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center"/>
        <w:rPr>
          <w:rFonts w:ascii="Times New Roman" w:eastAsia="Times New Roman" w:hAnsi="Times New Roman" w:cs="Traditional Arabic"/>
          <w:b/>
          <w:bCs/>
          <w:color w:val="000000"/>
          <w:sz w:val="44"/>
          <w:szCs w:val="44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/>
          <w:b/>
          <w:bCs/>
          <w:noProof/>
          <w:color w:val="00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74930</wp:posOffset>
                </wp:positionV>
                <wp:extent cx="1918335" cy="729615"/>
                <wp:effectExtent l="13970" t="8255" r="10795" b="5080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C65" w:rsidRPr="000A0917" w:rsidRDefault="00864C65" w:rsidP="00864C65">
                            <w:pPr>
                              <w:rPr>
                                <w:rFonts w:cs="DecoType Naskh Variants"/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proofErr w:type="spellStart"/>
                            <w:r w:rsidRPr="000A0917">
                              <w:rPr>
                                <w:rFonts w:cs="DecoType Naskh Variant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أ.د.صالح</w:t>
                            </w:r>
                            <w:proofErr w:type="spellEnd"/>
                            <w:r w:rsidRPr="000A0917">
                              <w:rPr>
                                <w:rFonts w:cs="DecoType Naskh Variant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هادي القريشيّ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48.4pt;margin-top:5.9pt;width:151.0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">
                <v:textbox>
                  <w:txbxContent>
                    <w:p w:rsidR="00864C65" w:rsidRPr="000A0917" w:rsidRDefault="00864C65" w:rsidP="00864C65">
                      <w:pPr>
                        <w:rPr>
                          <w:rFonts w:cs="DecoType Naskh Variants"/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proofErr w:type="spellStart"/>
                      <w:r w:rsidRPr="000A0917">
                        <w:rPr>
                          <w:rFonts w:cs="DecoType Naskh Variants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أ.د.صالح</w:t>
                      </w:r>
                      <w:proofErr w:type="spellEnd"/>
                      <w:r w:rsidRPr="000A0917">
                        <w:rPr>
                          <w:rFonts w:cs="DecoType Naskh Variants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 هادي القريشيّ</w:t>
                      </w:r>
                    </w:p>
                  </w:txbxContent>
                </v:textbox>
              </v:roundrect>
            </w:pict>
          </mc:Fallback>
        </mc:AlternateConten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44"/>
          <w:szCs w:val="44"/>
          <w:rtl/>
          <w:lang w:eastAsia="ar-SA" w:bidi="ar-IQ"/>
        </w:rPr>
        <w:t xml:space="preserve">                                                  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center"/>
        <w:rPr>
          <w:rFonts w:ascii="Times New Roman" w:eastAsia="Times New Roman" w:hAnsi="Times New Roman" w:cs="Traditional Arabic"/>
          <w:b/>
          <w:bCs/>
          <w:color w:val="000000"/>
          <w:sz w:val="44"/>
          <w:szCs w:val="44"/>
          <w:rtl/>
          <w:lang w:eastAsia="ar-SA" w:bidi="ar-IQ"/>
        </w:rPr>
      </w:pPr>
    </w:p>
    <w:p w:rsidR="00864C65" w:rsidRPr="00864C65" w:rsidRDefault="00864C65" w:rsidP="00864C65">
      <w:pPr>
        <w:widowControl w:val="0"/>
        <w:bidi/>
        <w:spacing w:after="0" w:line="240" w:lineRule="auto"/>
        <w:ind w:left="560"/>
        <w:jc w:val="mediumKashida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margin">
                  <wp:posOffset>4189095</wp:posOffset>
                </wp:positionH>
                <wp:positionV relativeFrom="margin">
                  <wp:posOffset>1681480</wp:posOffset>
                </wp:positionV>
                <wp:extent cx="1161415" cy="457200"/>
                <wp:effectExtent l="7620" t="5080" r="12065" b="13970"/>
                <wp:wrapSquare wrapText="bothSides"/>
                <wp:docPr id="3" name="زاوية مطوي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61415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196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C65" w:rsidRPr="004051BA" w:rsidRDefault="00864C65" w:rsidP="00864C65">
                            <w:pPr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i/>
                                <w:iCs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4051BA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ملاحظ</w:t>
                            </w:r>
                            <w:r w:rsidRPr="004051BA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864C65" w:rsidRDefault="00864C65" w:rsidP="00864C65"/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3" o:spid="_x0000_s1027" type="#_x0000_t65" style="position:absolute;left:0;text-align:left;margin-left:329.85pt;margin-top:132.4pt;width:91.45pt;height:3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" o:allowincell="f" fillcolor="#cf7b79" strokecolor="#969696" strokeweight=".5pt">
                <v:fill opacity="19789f"/>
                <v:textbox inset="10.8pt,7.2pt,10.8pt">
                  <w:txbxContent>
                    <w:p w:rsidR="00864C65" w:rsidRPr="004051BA" w:rsidRDefault="00864C65" w:rsidP="00864C65">
                      <w:pPr>
                        <w:rPr>
                          <w:rFonts w:ascii="Simplified Arabic Fixed" w:hAnsi="Simplified Arabic Fixed" w:cs="Simplified Arabic Fixed"/>
                          <w:b/>
                          <w:bCs/>
                          <w:i/>
                          <w:iCs/>
                          <w:color w:val="595959"/>
                          <w:sz w:val="24"/>
                          <w:szCs w:val="24"/>
                        </w:rPr>
                      </w:pPr>
                      <w:r w:rsidRPr="004051BA">
                        <w:rPr>
                          <w:rFonts w:ascii="Simplified Arabic Fixed" w:hAnsi="Simplified Arabic Fixed" w:cs="Simplified Arabic Fixed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ملاحظ</w:t>
                      </w:r>
                      <w:r w:rsidRPr="004051BA">
                        <w:rPr>
                          <w:rFonts w:ascii="Simplified Arabic Fixed" w:hAnsi="Simplified Arabic Fixed" w:cs="Simplified Arabic Fixe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864C65" w:rsidRDefault="00864C65" w:rsidP="00864C65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64C65" w:rsidRPr="00864C65" w:rsidRDefault="00864C65" w:rsidP="00864C65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000000"/>
          <w:sz w:val="44"/>
          <w:szCs w:val="44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هذه المادة المطبوعة تمثل محاضراتي في فقه </w:t>
      </w:r>
      <w:proofErr w:type="gram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اللغة ،من</w:t>
      </w:r>
      <w:proofErr w:type="gram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المادة المقررة في كتابَي (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د.صبحي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الصالح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ود.رشيد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العبيدي)  واحتفظ بمادة اضافية من اعدادي القيها على طلبتي مكمّلة للمادة المقررة وموضحة لها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44"/>
          <w:szCs w:val="44"/>
          <w:rtl/>
          <w:lang w:eastAsia="ar-SA" w:bidi="ar-IQ"/>
        </w:rPr>
        <w:t>.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44"/>
          <w:szCs w:val="44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/>
          <w:b/>
          <w:bCs/>
          <w:noProof/>
          <w:color w:val="00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-1905</wp:posOffset>
                </wp:positionV>
                <wp:extent cx="1161415" cy="441325"/>
                <wp:effectExtent l="7620" t="7620" r="12065" b="8255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C65" w:rsidRPr="00C2366A" w:rsidRDefault="00864C65" w:rsidP="00864C6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C2366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8" style="position:absolute;left:0;text-align:left;margin-left:329.85pt;margin-top:-.15pt;width:91.4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">
                <v:textbox>
                  <w:txbxContent>
                    <w:p w:rsidR="00864C65" w:rsidRPr="00C2366A" w:rsidRDefault="00864C65" w:rsidP="00864C65">
                      <w:pPr>
                        <w:rPr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r w:rsidRPr="00C2366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المصادر</w:t>
                      </w:r>
                    </w:p>
                  </w:txbxContent>
                </v:textbox>
              </v:roundrect>
            </w:pict>
          </mc:Fallback>
        </mc:AlternateConten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44"/>
          <w:szCs w:val="44"/>
          <w:rtl/>
          <w:lang w:eastAsia="ar-SA" w:bidi="ar-IQ"/>
        </w:rPr>
        <w:t>المصادر: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- دراسات في فقه اللغة </w:t>
      </w:r>
      <w:r w:rsidRPr="00864C65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–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د.صبحي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الصالح (مقرر)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- أبحاث ونصوص في فقه العربية </w:t>
      </w:r>
      <w:r w:rsidRPr="00864C65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–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د. رشيد العبيدي (مقرر)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- فصول في فقه العربية </w:t>
      </w:r>
      <w:r w:rsidRPr="00864C65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–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د.رمضان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عبد التواب</w:t>
      </w:r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- فقه اللغة العربية </w:t>
      </w:r>
      <w:r w:rsidRPr="00864C65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–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د.كاصد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الزيدي</w:t>
      </w:r>
      <w:proofErr w:type="spellEnd"/>
    </w:p>
    <w:p w:rsidR="00864C65" w:rsidRPr="00864C65" w:rsidRDefault="00864C65" w:rsidP="00864C65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- مصادر اخرى متفرقة كثيرة.</w:t>
      </w:r>
    </w:p>
    <w:p w:rsidR="00864C65" w:rsidRPr="00864C65" w:rsidRDefault="00864C65" w:rsidP="00864C65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26670</wp:posOffset>
                </wp:positionV>
                <wp:extent cx="1654175" cy="513715"/>
                <wp:effectExtent l="6350" t="7620" r="6350" b="12065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C65" w:rsidRDefault="00864C65" w:rsidP="00864C65">
                            <w:r w:rsidRPr="00C2366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مفردات المنهج: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9" style="position:absolute;left:0;text-align:left;margin-left:298.25pt;margin-top:2.1pt;width:130.2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">
                <v:textbox>
                  <w:txbxContent>
                    <w:p w:rsidR="00864C65" w:rsidRDefault="00864C65" w:rsidP="00864C65">
                      <w:r w:rsidRPr="00C2366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مفردات المنهج: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C65" w:rsidRPr="00864C65" w:rsidRDefault="00864C65" w:rsidP="00864C65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</w:p>
    <w:p w:rsidR="00864C65" w:rsidRPr="00864C65" w:rsidRDefault="00864C65" w:rsidP="00864C65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بين علم اللغة وفقه اللغة/ تحديد المصطلح وتعريفه/ منهج علماء العربية في       دراسة </w:t>
      </w:r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lastRenderedPageBreak/>
        <w:t xml:space="preserve">فقه اللغة/ اللغات الجزرية(السامية)وموقع العربية منها/ الخط العربي وتطوره/ اللهجات </w:t>
      </w:r>
      <w:proofErr w:type="spellStart"/>
      <w:proofErr w:type="gram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العربية:اختلافها</w:t>
      </w:r>
      <w:proofErr w:type="gram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،وتداخلها،والمذموم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منها،واللهجتان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الباقيتان،وخصائص</w:t>
      </w:r>
      <w:proofErr w:type="spellEnd"/>
      <w:r w:rsidRPr="00864C65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الفصحى/ ظاهرة الاعراب وشبهات حولها/ مناسبة حروف العربية لمعانيها/مظاهر الثراء في العربية: الاشتقاق والترادف والمشترك اللفظي والتضاد/ المعرب والدخيل/ علم الدلالة العربي/ المعجم العربي/ علم الأصوات العربي</w:t>
      </w:r>
    </w:p>
    <w:p w:rsidR="00C84E46" w:rsidRDefault="00864C65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5"/>
    <w:rsid w:val="007C599F"/>
    <w:rsid w:val="00864C65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8A4C-988F-42A4-866B-22C1A37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2018-01-26T07:21:00Z</dcterms:created>
  <dcterms:modified xsi:type="dcterms:W3CDTF">2018-01-26T07:23:00Z</dcterms:modified>
</cp:coreProperties>
</file>