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9E" w:rsidRPr="0030619E" w:rsidRDefault="0030619E" w:rsidP="0030619E">
      <w:pPr>
        <w:jc w:val="both"/>
        <w:rPr>
          <w:b/>
          <w:bCs/>
          <w:sz w:val="32"/>
          <w:szCs w:val="32"/>
          <w:lang w:bidi="ar-IQ"/>
        </w:rPr>
      </w:pPr>
      <w:r w:rsidRPr="0030619E">
        <w:rPr>
          <w:b/>
          <w:bCs/>
          <w:sz w:val="32"/>
          <w:szCs w:val="32"/>
          <w:rtl/>
          <w:lang w:bidi="ar-IQ"/>
        </w:rPr>
        <w:t xml:space="preserve">الجامعة المستنصرية – كلية الآداب </w:t>
      </w:r>
    </w:p>
    <w:p w:rsidR="0030619E" w:rsidRPr="0030619E" w:rsidRDefault="0030619E" w:rsidP="0030619E">
      <w:pPr>
        <w:jc w:val="both"/>
        <w:rPr>
          <w:b/>
          <w:bCs/>
          <w:sz w:val="32"/>
          <w:szCs w:val="32"/>
          <w:rtl/>
          <w:lang w:bidi="ar-IQ"/>
        </w:rPr>
      </w:pPr>
      <w:r w:rsidRPr="0030619E">
        <w:rPr>
          <w:b/>
          <w:bCs/>
          <w:sz w:val="32"/>
          <w:szCs w:val="32"/>
          <w:rtl/>
          <w:lang w:bidi="ar-IQ"/>
        </w:rPr>
        <w:t xml:space="preserve">قسم اللغة العربية </w:t>
      </w:r>
    </w:p>
    <w:p w:rsidR="0030619E" w:rsidRPr="0030619E" w:rsidRDefault="0030619E" w:rsidP="0030619E">
      <w:pPr>
        <w:jc w:val="both"/>
        <w:rPr>
          <w:b/>
          <w:bCs/>
          <w:sz w:val="32"/>
          <w:szCs w:val="32"/>
          <w:rtl/>
          <w:lang w:bidi="ar-IQ"/>
        </w:rPr>
      </w:pPr>
      <w:r w:rsidRPr="0030619E">
        <w:rPr>
          <w:b/>
          <w:bCs/>
          <w:sz w:val="32"/>
          <w:szCs w:val="32"/>
          <w:rtl/>
          <w:lang w:bidi="ar-IQ"/>
        </w:rPr>
        <w:t>مادة الادب العباسي / نثر</w:t>
      </w:r>
    </w:p>
    <w:p w:rsidR="0030619E" w:rsidRPr="0030619E" w:rsidRDefault="0030619E" w:rsidP="0030619E">
      <w:pPr>
        <w:jc w:val="both"/>
        <w:rPr>
          <w:b/>
          <w:bCs/>
          <w:sz w:val="32"/>
          <w:szCs w:val="32"/>
          <w:rtl/>
          <w:lang w:bidi="ar-IQ"/>
        </w:rPr>
      </w:pPr>
      <w:r w:rsidRPr="0030619E">
        <w:rPr>
          <w:b/>
          <w:bCs/>
          <w:sz w:val="32"/>
          <w:szCs w:val="32"/>
          <w:rtl/>
          <w:lang w:bidi="ar-IQ"/>
        </w:rPr>
        <w:t xml:space="preserve">محاضرة ( </w:t>
      </w:r>
      <w:r>
        <w:rPr>
          <w:rFonts w:hint="cs"/>
          <w:b/>
          <w:bCs/>
          <w:sz w:val="32"/>
          <w:szCs w:val="32"/>
          <w:rtl/>
          <w:lang w:bidi="ar-IQ"/>
        </w:rPr>
        <w:t>3</w:t>
      </w:r>
      <w:bookmarkStart w:id="0" w:name="_GoBack"/>
      <w:bookmarkEnd w:id="0"/>
      <w:r w:rsidRPr="0030619E">
        <w:rPr>
          <w:b/>
          <w:bCs/>
          <w:sz w:val="32"/>
          <w:szCs w:val="32"/>
          <w:rtl/>
          <w:lang w:bidi="ar-IQ"/>
        </w:rPr>
        <w:t xml:space="preserve"> ) </w:t>
      </w:r>
    </w:p>
    <w:p w:rsidR="0030619E" w:rsidRDefault="0030619E" w:rsidP="00A9032C">
      <w:pPr>
        <w:jc w:val="both"/>
        <w:rPr>
          <w:b/>
          <w:bCs/>
          <w:sz w:val="32"/>
          <w:szCs w:val="32"/>
          <w:rtl/>
          <w:lang w:bidi="ar-IQ"/>
        </w:rPr>
      </w:pPr>
    </w:p>
    <w:p w:rsidR="00A9032C" w:rsidRPr="00A9032C" w:rsidRDefault="00A9032C" w:rsidP="00A9032C">
      <w:pPr>
        <w:jc w:val="both"/>
        <w:rPr>
          <w:b/>
          <w:bCs/>
          <w:sz w:val="32"/>
          <w:szCs w:val="32"/>
          <w:rtl/>
          <w:lang w:bidi="ar-IQ"/>
        </w:rPr>
      </w:pPr>
      <w:r w:rsidRPr="00A9032C">
        <w:rPr>
          <w:rFonts w:hint="cs"/>
          <w:b/>
          <w:bCs/>
          <w:sz w:val="32"/>
          <w:szCs w:val="32"/>
          <w:rtl/>
          <w:lang w:bidi="ar-IQ"/>
        </w:rPr>
        <w:t xml:space="preserve">المحاضرة الثالثة: </w:t>
      </w:r>
    </w:p>
    <w:p w:rsidR="00A9032C" w:rsidRPr="00A9032C" w:rsidRDefault="00A9032C" w:rsidP="00A9032C">
      <w:pPr>
        <w:jc w:val="both"/>
        <w:rPr>
          <w:sz w:val="32"/>
          <w:szCs w:val="32"/>
          <w:rtl/>
          <w:lang w:bidi="ar-IQ"/>
        </w:rPr>
      </w:pPr>
      <w:r w:rsidRPr="00A9032C">
        <w:rPr>
          <w:rFonts w:hint="cs"/>
          <w:b/>
          <w:bCs/>
          <w:sz w:val="32"/>
          <w:szCs w:val="32"/>
          <w:rtl/>
          <w:lang w:bidi="ar-IQ"/>
        </w:rPr>
        <w:t xml:space="preserve">فن الرسائل: </w:t>
      </w:r>
      <w:r w:rsidRPr="00A9032C">
        <w:rPr>
          <w:rFonts w:hint="cs"/>
          <w:sz w:val="32"/>
          <w:szCs w:val="32"/>
          <w:rtl/>
          <w:lang w:bidi="ar-IQ"/>
        </w:rPr>
        <w:t xml:space="preserve">تعريف الديوان: هو سجل تنظيمي للأعمال الإدارية والمالية والسياسية في ادارة الدولة وقد ظهر في العصر الراشدي. أنواعها: الخَراج، النفقّات، الجيش، الحرب، الرسائل، دواوين شرق الدولة وغربها، ديوان الزمام. </w:t>
      </w:r>
    </w:p>
    <w:p w:rsidR="00A9032C" w:rsidRPr="00A9032C" w:rsidRDefault="00A9032C" w:rsidP="00A9032C">
      <w:pPr>
        <w:jc w:val="both"/>
        <w:rPr>
          <w:sz w:val="32"/>
          <w:szCs w:val="32"/>
          <w:rtl/>
          <w:lang w:bidi="ar-IQ"/>
        </w:rPr>
      </w:pPr>
      <w:r w:rsidRPr="00A9032C">
        <w:rPr>
          <w:rFonts w:hint="cs"/>
          <w:b/>
          <w:bCs/>
          <w:sz w:val="32"/>
          <w:szCs w:val="32"/>
          <w:rtl/>
          <w:lang w:bidi="ar-IQ"/>
        </w:rPr>
        <w:t>مميزات كاتب الديوان:</w:t>
      </w:r>
      <w:r w:rsidRPr="00A9032C">
        <w:rPr>
          <w:rFonts w:hint="cs"/>
          <w:sz w:val="32"/>
          <w:szCs w:val="32"/>
          <w:rtl/>
          <w:lang w:bidi="ar-IQ"/>
        </w:rPr>
        <w:t xml:space="preserve"> الوضوح في التعبير، الجمال الفني، اختيار اللفاظ، الطبع المتمكن، السبك الجيد، القدرة البلاغية، المعرفة بعلوم اللغة، وعلوم الفقه، والفلسفة، الرجمة، الحكم والقصص. </w:t>
      </w:r>
    </w:p>
    <w:p w:rsidR="00A9032C" w:rsidRPr="00A9032C" w:rsidRDefault="00A9032C" w:rsidP="00A9032C">
      <w:pPr>
        <w:jc w:val="both"/>
        <w:rPr>
          <w:sz w:val="32"/>
          <w:szCs w:val="32"/>
          <w:rtl/>
          <w:lang w:bidi="ar-IQ"/>
        </w:rPr>
      </w:pPr>
      <w:r w:rsidRPr="00A9032C">
        <w:rPr>
          <w:rFonts w:hint="cs"/>
          <w:b/>
          <w:bCs/>
          <w:sz w:val="32"/>
          <w:szCs w:val="32"/>
          <w:rtl/>
          <w:lang w:bidi="ar-IQ"/>
        </w:rPr>
        <w:t xml:space="preserve">الرسائل الديوانية: </w:t>
      </w:r>
      <w:r w:rsidRPr="00A9032C">
        <w:rPr>
          <w:rFonts w:hint="cs"/>
          <w:sz w:val="32"/>
          <w:szCs w:val="32"/>
          <w:rtl/>
          <w:lang w:bidi="ar-IQ"/>
        </w:rPr>
        <w:t xml:space="preserve">مفهومها وموضوعاتها: تعريف اعمال الدولة وتولية الولاة، البيعة للخلفاء، الفتوح، الجهاد، الحج، الأعياد، </w:t>
      </w:r>
      <w:proofErr w:type="spellStart"/>
      <w:r w:rsidRPr="00A9032C">
        <w:rPr>
          <w:rFonts w:hint="cs"/>
          <w:sz w:val="32"/>
          <w:szCs w:val="32"/>
          <w:rtl/>
          <w:lang w:bidi="ar-IQ"/>
        </w:rPr>
        <w:t>الآمان</w:t>
      </w:r>
      <w:proofErr w:type="spellEnd"/>
      <w:r w:rsidRPr="00A9032C">
        <w:rPr>
          <w:rFonts w:hint="cs"/>
          <w:sz w:val="32"/>
          <w:szCs w:val="32"/>
          <w:rtl/>
          <w:lang w:bidi="ar-IQ"/>
        </w:rPr>
        <w:t xml:space="preserve">، أخيار وأحوال الولايات، عهود الخلفاء لأبنائهم، وصايا الوزراء والحكام، تدبير السياسة والحكم. </w:t>
      </w:r>
    </w:p>
    <w:p w:rsidR="00A9032C" w:rsidRPr="00A9032C" w:rsidRDefault="00A9032C" w:rsidP="00A9032C">
      <w:pPr>
        <w:jc w:val="both"/>
        <w:rPr>
          <w:sz w:val="32"/>
          <w:szCs w:val="32"/>
          <w:rtl/>
          <w:lang w:bidi="ar-IQ"/>
        </w:rPr>
      </w:pPr>
      <w:r w:rsidRPr="00A9032C">
        <w:rPr>
          <w:rFonts w:hint="cs"/>
          <w:b/>
          <w:bCs/>
          <w:sz w:val="32"/>
          <w:szCs w:val="32"/>
          <w:rtl/>
          <w:lang w:bidi="ar-IQ"/>
        </w:rPr>
        <w:t>أسباب تطورها:</w:t>
      </w:r>
      <w:r w:rsidRPr="00A9032C">
        <w:rPr>
          <w:rFonts w:hint="cs"/>
          <w:sz w:val="32"/>
          <w:szCs w:val="32"/>
          <w:rtl/>
          <w:lang w:bidi="ar-IQ"/>
        </w:rPr>
        <w:t xml:space="preserve"> امتزاج الشعوب، كثرة الدواوين، ظهور طبقة من الكتاب، المنافسة بين الكتاب تطور المجتمع العباسي حضارياً. </w:t>
      </w:r>
    </w:p>
    <w:p w:rsidR="00A9032C" w:rsidRPr="00A9032C" w:rsidRDefault="00A9032C" w:rsidP="00A9032C">
      <w:pPr>
        <w:jc w:val="both"/>
        <w:rPr>
          <w:sz w:val="32"/>
          <w:szCs w:val="32"/>
          <w:rtl/>
          <w:lang w:bidi="ar-IQ"/>
        </w:rPr>
      </w:pPr>
      <w:r w:rsidRPr="00A9032C">
        <w:rPr>
          <w:rFonts w:hint="cs"/>
          <w:b/>
          <w:bCs/>
          <w:sz w:val="32"/>
          <w:szCs w:val="32"/>
          <w:rtl/>
          <w:lang w:bidi="ar-IQ"/>
        </w:rPr>
        <w:t>أهمها رسائل الخميس:</w:t>
      </w:r>
      <w:r w:rsidRPr="00A9032C">
        <w:rPr>
          <w:rFonts w:hint="cs"/>
          <w:sz w:val="32"/>
          <w:szCs w:val="32"/>
          <w:rtl/>
          <w:lang w:bidi="ar-IQ"/>
        </w:rPr>
        <w:t xml:space="preserve"> مفهومها منشور دعائي للخلافة العباسية، تقرأ في يوم الخميس، تكتب في أول عهد للخليفة، مقرها خراسان، على أنصار بني العباس. </w:t>
      </w:r>
    </w:p>
    <w:p w:rsidR="00A9032C" w:rsidRPr="00A9032C" w:rsidRDefault="00A9032C" w:rsidP="00A9032C">
      <w:pPr>
        <w:jc w:val="both"/>
        <w:rPr>
          <w:sz w:val="32"/>
          <w:szCs w:val="32"/>
          <w:rtl/>
          <w:lang w:bidi="ar-IQ"/>
        </w:rPr>
      </w:pPr>
      <w:r w:rsidRPr="00A9032C">
        <w:rPr>
          <w:rFonts w:hint="cs"/>
          <w:b/>
          <w:bCs/>
          <w:sz w:val="32"/>
          <w:szCs w:val="32"/>
          <w:rtl/>
          <w:lang w:bidi="ar-IQ"/>
        </w:rPr>
        <w:t>خصائصها:</w:t>
      </w:r>
      <w:r w:rsidRPr="00A9032C">
        <w:rPr>
          <w:rFonts w:hint="cs"/>
          <w:sz w:val="32"/>
          <w:szCs w:val="32"/>
          <w:rtl/>
          <w:lang w:bidi="ar-IQ"/>
        </w:rPr>
        <w:t xml:space="preserve"> وضوح المعاني، كثرة الحجج، الطول والأطناب والشرح الوافي على الطريقة الخطابية، اسلوبها جميل، لغتها سليمة وسهلة ومفهومة، فقراتها منسقة، فيها سجع غير مستهجن. ((نص رسالة الخميس عمارة بن حمزة (</w:t>
      </w:r>
      <w:proofErr w:type="spellStart"/>
      <w:r w:rsidRPr="00A9032C">
        <w:rPr>
          <w:rFonts w:hint="cs"/>
          <w:sz w:val="32"/>
          <w:szCs w:val="32"/>
          <w:rtl/>
          <w:lang w:bidi="ar-IQ"/>
        </w:rPr>
        <w:t>الماهانية</w:t>
      </w:r>
      <w:proofErr w:type="spellEnd"/>
      <w:r w:rsidRPr="00A9032C">
        <w:rPr>
          <w:rFonts w:hint="cs"/>
          <w:sz w:val="32"/>
          <w:szCs w:val="32"/>
          <w:rtl/>
          <w:lang w:bidi="ar-IQ"/>
        </w:rPr>
        <w:t>). راجع/ العصر العباسي الأول: د. شوقي ضيف، ص469 عَن (أمير المؤمنين لا ينكر قرب الطاعة</w:t>
      </w:r>
      <w:proofErr w:type="gramStart"/>
      <w:r w:rsidRPr="00A9032C">
        <w:rPr>
          <w:rFonts w:hint="cs"/>
          <w:sz w:val="32"/>
          <w:szCs w:val="32"/>
          <w:rtl/>
          <w:lang w:bidi="ar-IQ"/>
        </w:rPr>
        <w:t>.....</w:t>
      </w:r>
      <w:proofErr w:type="gramEnd"/>
      <w:r w:rsidRPr="00A9032C">
        <w:rPr>
          <w:rFonts w:hint="cs"/>
          <w:sz w:val="32"/>
          <w:szCs w:val="32"/>
          <w:rtl/>
          <w:lang w:bidi="ar-IQ"/>
        </w:rPr>
        <w:t xml:space="preserve"> ويخرج أضغانهم)). </w:t>
      </w:r>
    </w:p>
    <w:p w:rsidR="00A9032C" w:rsidRPr="00A9032C" w:rsidRDefault="00A9032C" w:rsidP="00A9032C">
      <w:pPr>
        <w:jc w:val="both"/>
        <w:rPr>
          <w:sz w:val="32"/>
          <w:szCs w:val="32"/>
          <w:rtl/>
          <w:lang w:bidi="ar-IQ"/>
        </w:rPr>
      </w:pPr>
      <w:r w:rsidRPr="00A9032C">
        <w:rPr>
          <w:rFonts w:hint="cs"/>
          <w:b/>
          <w:bCs/>
          <w:sz w:val="32"/>
          <w:szCs w:val="32"/>
          <w:rtl/>
          <w:lang w:bidi="ar-IQ"/>
        </w:rPr>
        <w:t xml:space="preserve">الرسائل </w:t>
      </w:r>
      <w:proofErr w:type="spellStart"/>
      <w:r w:rsidRPr="00A9032C">
        <w:rPr>
          <w:rFonts w:hint="cs"/>
          <w:b/>
          <w:bCs/>
          <w:sz w:val="32"/>
          <w:szCs w:val="32"/>
          <w:rtl/>
          <w:lang w:bidi="ar-IQ"/>
        </w:rPr>
        <w:t>الأخوانية</w:t>
      </w:r>
      <w:proofErr w:type="spellEnd"/>
      <w:r w:rsidRPr="00A9032C">
        <w:rPr>
          <w:rFonts w:hint="cs"/>
          <w:b/>
          <w:bCs/>
          <w:sz w:val="32"/>
          <w:szCs w:val="32"/>
          <w:rtl/>
          <w:lang w:bidi="ar-IQ"/>
        </w:rPr>
        <w:t>:</w:t>
      </w:r>
      <w:r w:rsidRPr="00A9032C">
        <w:rPr>
          <w:rFonts w:hint="cs"/>
          <w:sz w:val="32"/>
          <w:szCs w:val="32"/>
          <w:rtl/>
          <w:lang w:bidi="ar-IQ"/>
        </w:rPr>
        <w:t xml:space="preserve"> مفهومها: تدور بين الأصدقاء، تصور عواطف من رغبة ورهبة، مدح، ذم، تهنئة، تعزية، عتاب.</w:t>
      </w:r>
    </w:p>
    <w:p w:rsidR="00A9032C" w:rsidRPr="00A9032C" w:rsidRDefault="00A9032C" w:rsidP="00A9032C">
      <w:pPr>
        <w:jc w:val="both"/>
        <w:rPr>
          <w:sz w:val="32"/>
          <w:szCs w:val="32"/>
          <w:rtl/>
          <w:lang w:bidi="ar-IQ"/>
        </w:rPr>
      </w:pPr>
      <w:r w:rsidRPr="00A9032C">
        <w:rPr>
          <w:rFonts w:hint="cs"/>
          <w:sz w:val="32"/>
          <w:szCs w:val="32"/>
          <w:rtl/>
          <w:lang w:bidi="ar-IQ"/>
        </w:rPr>
        <w:lastRenderedPageBreak/>
        <w:t xml:space="preserve">أوليتها: في العصر الإسلامي الأموي (سلمان الفارسي وأبي ذر الغفاري، عبد الله بن معاوية مع رجل من اصدقاءه، عبد الحميد الكاتب إلى أخٍ له في أول مولود له. </w:t>
      </w:r>
    </w:p>
    <w:p w:rsidR="00A9032C" w:rsidRPr="00A9032C" w:rsidRDefault="00A9032C" w:rsidP="00A9032C">
      <w:pPr>
        <w:jc w:val="both"/>
        <w:rPr>
          <w:sz w:val="32"/>
          <w:szCs w:val="32"/>
          <w:rtl/>
          <w:lang w:bidi="ar-IQ"/>
        </w:rPr>
      </w:pPr>
      <w:r w:rsidRPr="00A9032C">
        <w:rPr>
          <w:rFonts w:hint="cs"/>
          <w:sz w:val="32"/>
          <w:szCs w:val="32"/>
          <w:rtl/>
          <w:lang w:bidi="ar-IQ"/>
        </w:rPr>
        <w:t xml:space="preserve">موضوعها شعري. أما في العصر العباسي في النثر لسببين: </w:t>
      </w:r>
    </w:p>
    <w:p w:rsidR="00A9032C" w:rsidRPr="00A9032C" w:rsidRDefault="00A9032C" w:rsidP="00A9032C">
      <w:pPr>
        <w:numPr>
          <w:ilvl w:val="0"/>
          <w:numId w:val="1"/>
        </w:numPr>
        <w:jc w:val="both"/>
        <w:rPr>
          <w:sz w:val="32"/>
          <w:szCs w:val="32"/>
        </w:rPr>
      </w:pPr>
      <w:r w:rsidRPr="00A9032C">
        <w:rPr>
          <w:rFonts w:hint="cs"/>
          <w:sz w:val="32"/>
          <w:szCs w:val="32"/>
          <w:rtl/>
          <w:lang w:bidi="ar-IQ"/>
        </w:rPr>
        <w:t xml:space="preserve"> ظهور </w:t>
      </w:r>
      <w:proofErr w:type="spellStart"/>
      <w:r w:rsidRPr="00A9032C">
        <w:rPr>
          <w:rFonts w:hint="cs"/>
          <w:sz w:val="32"/>
          <w:szCs w:val="32"/>
          <w:rtl/>
          <w:lang w:bidi="ar-IQ"/>
        </w:rPr>
        <w:t>طيفة</w:t>
      </w:r>
      <w:proofErr w:type="spellEnd"/>
      <w:r w:rsidRPr="00A9032C">
        <w:rPr>
          <w:rFonts w:hint="cs"/>
          <w:sz w:val="32"/>
          <w:szCs w:val="32"/>
          <w:rtl/>
          <w:lang w:bidi="ar-IQ"/>
        </w:rPr>
        <w:t xml:space="preserve"> ممتازة من الكتاب. </w:t>
      </w:r>
    </w:p>
    <w:p w:rsidR="00A9032C" w:rsidRPr="00A9032C" w:rsidRDefault="00A9032C" w:rsidP="00A9032C">
      <w:pPr>
        <w:numPr>
          <w:ilvl w:val="0"/>
          <w:numId w:val="1"/>
        </w:numPr>
        <w:jc w:val="both"/>
        <w:rPr>
          <w:sz w:val="32"/>
          <w:szCs w:val="32"/>
        </w:rPr>
      </w:pPr>
      <w:r w:rsidRPr="00A9032C">
        <w:rPr>
          <w:rFonts w:hint="cs"/>
          <w:sz w:val="32"/>
          <w:szCs w:val="32"/>
          <w:rtl/>
          <w:lang w:bidi="ar-IQ"/>
        </w:rPr>
        <w:t xml:space="preserve"> مرونة النثر ويسره. </w:t>
      </w:r>
    </w:p>
    <w:p w:rsidR="00A9032C" w:rsidRPr="00A9032C" w:rsidRDefault="00A9032C" w:rsidP="00A9032C">
      <w:pPr>
        <w:jc w:val="both"/>
        <w:rPr>
          <w:sz w:val="32"/>
          <w:szCs w:val="32"/>
          <w:rtl/>
          <w:lang w:bidi="ar-IQ"/>
        </w:rPr>
      </w:pPr>
      <w:r w:rsidRPr="00A9032C">
        <w:rPr>
          <w:rFonts w:hint="cs"/>
          <w:b/>
          <w:bCs/>
          <w:sz w:val="32"/>
          <w:szCs w:val="32"/>
          <w:rtl/>
          <w:lang w:bidi="ar-IQ"/>
        </w:rPr>
        <w:t xml:space="preserve">أهميتها: </w:t>
      </w:r>
      <w:r w:rsidRPr="00A9032C">
        <w:rPr>
          <w:rFonts w:hint="cs"/>
          <w:sz w:val="32"/>
          <w:szCs w:val="32"/>
          <w:rtl/>
          <w:lang w:bidi="ar-IQ"/>
        </w:rPr>
        <w:t xml:space="preserve">أدب الخاصة وليس أدب العامة. أدب المثقفين الكتاب، مثلث الجانب الحضاري المتطور وجانب الترف، تقمصت أغراض الشعر، من مدح، وهجاء وعتاب وتهنئة فأقترن لغة النثر في لغة الشعر. </w:t>
      </w:r>
    </w:p>
    <w:p w:rsidR="00A9032C" w:rsidRPr="00A9032C" w:rsidRDefault="00A9032C" w:rsidP="00A9032C">
      <w:pPr>
        <w:jc w:val="both"/>
        <w:rPr>
          <w:sz w:val="32"/>
          <w:szCs w:val="32"/>
          <w:rtl/>
          <w:lang w:bidi="ar-IQ"/>
        </w:rPr>
      </w:pPr>
      <w:r w:rsidRPr="00A9032C">
        <w:rPr>
          <w:rFonts w:hint="cs"/>
          <w:b/>
          <w:bCs/>
          <w:sz w:val="32"/>
          <w:szCs w:val="32"/>
          <w:rtl/>
          <w:lang w:bidi="ar-IQ"/>
        </w:rPr>
        <w:t xml:space="preserve">نص رسالة ابراهيم بن المهدي: </w:t>
      </w:r>
      <w:r w:rsidRPr="00A9032C">
        <w:rPr>
          <w:rFonts w:hint="cs"/>
          <w:sz w:val="32"/>
          <w:szCs w:val="32"/>
          <w:rtl/>
          <w:lang w:bidi="ar-IQ"/>
        </w:rPr>
        <w:t xml:space="preserve">العصر العباسيّ الأول، د. شوقي ضيف (الحمدُ لله تممَّ لأمير المؤمنين.... نازح البعد براً وبحراً). </w:t>
      </w:r>
    </w:p>
    <w:p w:rsidR="00A9032C" w:rsidRPr="00A9032C" w:rsidRDefault="00A9032C" w:rsidP="00A9032C">
      <w:pPr>
        <w:jc w:val="both"/>
        <w:rPr>
          <w:sz w:val="32"/>
          <w:szCs w:val="32"/>
          <w:rtl/>
          <w:lang w:bidi="ar-IQ"/>
        </w:rPr>
      </w:pPr>
      <w:r w:rsidRPr="00A9032C">
        <w:rPr>
          <w:rFonts w:hint="cs"/>
          <w:b/>
          <w:bCs/>
          <w:sz w:val="32"/>
          <w:szCs w:val="32"/>
          <w:rtl/>
          <w:lang w:bidi="ar-IQ"/>
        </w:rPr>
        <w:t xml:space="preserve">أصحابها: </w:t>
      </w:r>
      <w:r w:rsidRPr="00A9032C">
        <w:rPr>
          <w:rFonts w:hint="cs"/>
          <w:sz w:val="32"/>
          <w:szCs w:val="32"/>
          <w:rtl/>
          <w:lang w:bidi="ar-IQ"/>
        </w:rPr>
        <w:t xml:space="preserve">زياد الحارثي، أبو العميل، يوسف بن صبيح، سعيد بن وهب، ابو العتاهية محمد بن عبد الملك). </w:t>
      </w:r>
    </w:p>
    <w:p w:rsidR="00A9032C" w:rsidRPr="00A9032C" w:rsidRDefault="00A9032C" w:rsidP="00A9032C">
      <w:pPr>
        <w:jc w:val="both"/>
        <w:rPr>
          <w:sz w:val="32"/>
          <w:szCs w:val="32"/>
          <w:rtl/>
          <w:lang w:bidi="ar-IQ"/>
        </w:rPr>
      </w:pPr>
      <w:r w:rsidRPr="00A9032C">
        <w:rPr>
          <w:rFonts w:hint="cs"/>
          <w:b/>
          <w:bCs/>
          <w:sz w:val="32"/>
          <w:szCs w:val="32"/>
          <w:rtl/>
          <w:lang w:bidi="ar-IQ"/>
        </w:rPr>
        <w:t>الرسائل الأدبية:</w:t>
      </w:r>
      <w:r w:rsidRPr="00A9032C">
        <w:rPr>
          <w:rFonts w:hint="cs"/>
          <w:sz w:val="32"/>
          <w:szCs w:val="32"/>
          <w:rtl/>
          <w:lang w:bidi="ar-IQ"/>
        </w:rPr>
        <w:t xml:space="preserve"> مفهومها: تدور حول موضوع أدبي مثل رسائل الجاحظ في الدين، وفي الجواري، النبيذ، وتتصل بالأخلاق وسلوك الناس. </w:t>
      </w:r>
    </w:p>
    <w:p w:rsidR="00A9032C" w:rsidRPr="00A9032C" w:rsidRDefault="00A9032C" w:rsidP="00A9032C">
      <w:pPr>
        <w:jc w:val="both"/>
        <w:rPr>
          <w:sz w:val="32"/>
          <w:szCs w:val="32"/>
          <w:rtl/>
          <w:lang w:bidi="ar-IQ"/>
        </w:rPr>
      </w:pPr>
      <w:r w:rsidRPr="00A9032C">
        <w:rPr>
          <w:rFonts w:hint="cs"/>
          <w:b/>
          <w:bCs/>
          <w:sz w:val="32"/>
          <w:szCs w:val="32"/>
          <w:rtl/>
          <w:lang w:bidi="ar-IQ"/>
        </w:rPr>
        <w:t xml:space="preserve">موضوعاتها: </w:t>
      </w:r>
      <w:r w:rsidRPr="00A9032C">
        <w:rPr>
          <w:rFonts w:hint="cs"/>
          <w:sz w:val="32"/>
          <w:szCs w:val="32"/>
          <w:rtl/>
          <w:lang w:bidi="ar-IQ"/>
        </w:rPr>
        <w:t>السياسة، تدبير الحكم عند العتابي، وكذلك محمد بن الليث (في الأدب)، وترجمات (ابن المقفع) خصال النفس، توضيح طريق الخير. نص رسالة غسان عبد الحميد: العصر العباسيّ الأول، د. شوقي ضيف (أما بعد فإن الله جعل العباد.... وتؤدى بأمانة).</w:t>
      </w:r>
    </w:p>
    <w:p w:rsidR="00A9032C" w:rsidRPr="00A9032C" w:rsidRDefault="00A9032C" w:rsidP="00A9032C">
      <w:pPr>
        <w:jc w:val="both"/>
        <w:rPr>
          <w:rtl/>
          <w:lang w:bidi="ar-IQ"/>
        </w:rPr>
      </w:pPr>
      <w:r w:rsidRPr="00A9032C">
        <w:rPr>
          <w:rFonts w:hint="cs"/>
          <w:sz w:val="32"/>
          <w:szCs w:val="32"/>
          <w:rtl/>
          <w:lang w:bidi="ar-IQ"/>
        </w:rPr>
        <w:t>كتابها: (رسالة محمد بن مكرم الى ابي العيناء، رسالة أحمد بن أبي طاهر طيفور إلى أبي علي البصير، رسالة أبي علي البصير إلى أبي العيناء، رسالة غسان بن عبد الحميد</w:t>
      </w:r>
      <w:r w:rsidRPr="00A9032C">
        <w:rPr>
          <w:rFonts w:hint="cs"/>
          <w:rtl/>
          <w:lang w:bidi="ar-IQ"/>
        </w:rPr>
        <w:t xml:space="preserve">). </w:t>
      </w:r>
    </w:p>
    <w:p w:rsidR="00A9032C" w:rsidRPr="00A9032C" w:rsidRDefault="00A9032C" w:rsidP="00A9032C">
      <w:pPr>
        <w:rPr>
          <w:b/>
          <w:bCs/>
          <w:rtl/>
          <w:lang w:bidi="ar-IQ"/>
        </w:rPr>
      </w:pPr>
      <w:r w:rsidRPr="00A9032C">
        <w:rPr>
          <w:b/>
          <w:bCs/>
          <w:rtl/>
          <w:lang w:bidi="ar-IQ"/>
        </w:rPr>
        <w:br w:type="page"/>
      </w:r>
    </w:p>
    <w:p w:rsidR="00E80A3B" w:rsidRDefault="00E80A3B">
      <w:pPr>
        <w:rPr>
          <w:lang w:bidi="ar-IQ"/>
        </w:rPr>
      </w:pPr>
    </w:p>
    <w:sectPr w:rsidR="00E80A3B" w:rsidSect="001B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F08"/>
    <w:multiLevelType w:val="hybridMultilevel"/>
    <w:tmpl w:val="9F04D674"/>
    <w:lvl w:ilvl="0" w:tplc="3118D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2C"/>
    <w:rsid w:val="001B0086"/>
    <w:rsid w:val="0030619E"/>
    <w:rsid w:val="00455435"/>
    <w:rsid w:val="00A9032C"/>
    <w:rsid w:val="00E8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8B2FCF-C43F-4B95-899A-57E78731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43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</dc:creator>
  <cp:lastModifiedBy>Dr.sabah</cp:lastModifiedBy>
  <cp:revision>2</cp:revision>
  <dcterms:created xsi:type="dcterms:W3CDTF">2018-01-09T18:35:00Z</dcterms:created>
  <dcterms:modified xsi:type="dcterms:W3CDTF">2018-01-13T07:21:00Z</dcterms:modified>
</cp:coreProperties>
</file>