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D14" w:rsidRPr="00957621" w:rsidRDefault="00243A20" w:rsidP="00243A20">
      <w:pPr>
        <w:bidi/>
        <w:rPr>
          <w:b/>
          <w:bCs/>
          <w:sz w:val="32"/>
          <w:szCs w:val="32"/>
          <w:rtl/>
        </w:rPr>
      </w:pPr>
      <w:r w:rsidRPr="00957621">
        <w:rPr>
          <w:rFonts w:hint="cs"/>
          <w:b/>
          <w:bCs/>
          <w:sz w:val="32"/>
          <w:szCs w:val="32"/>
          <w:rtl/>
        </w:rPr>
        <w:t xml:space="preserve">الجامعة المستنصرية </w:t>
      </w:r>
      <w:proofErr w:type="gramStart"/>
      <w:r w:rsidRPr="00957621">
        <w:rPr>
          <w:rFonts w:hint="cs"/>
          <w:b/>
          <w:bCs/>
          <w:sz w:val="32"/>
          <w:szCs w:val="32"/>
          <w:rtl/>
        </w:rPr>
        <w:t>- كلية</w:t>
      </w:r>
      <w:proofErr w:type="gramEnd"/>
      <w:r w:rsidRPr="00957621">
        <w:rPr>
          <w:rFonts w:hint="cs"/>
          <w:b/>
          <w:bCs/>
          <w:sz w:val="32"/>
          <w:szCs w:val="32"/>
          <w:rtl/>
        </w:rPr>
        <w:t xml:space="preserve"> الآداب</w:t>
      </w:r>
    </w:p>
    <w:p w:rsidR="00243A20" w:rsidRPr="00957621" w:rsidRDefault="00243A20" w:rsidP="00243A20">
      <w:pPr>
        <w:bidi/>
        <w:rPr>
          <w:b/>
          <w:bCs/>
          <w:sz w:val="32"/>
          <w:szCs w:val="32"/>
          <w:rtl/>
        </w:rPr>
      </w:pPr>
      <w:r w:rsidRPr="00957621">
        <w:rPr>
          <w:rFonts w:hint="cs"/>
          <w:b/>
          <w:bCs/>
          <w:sz w:val="32"/>
          <w:szCs w:val="32"/>
          <w:rtl/>
        </w:rPr>
        <w:t xml:space="preserve">قسم اللغة العربية </w:t>
      </w:r>
    </w:p>
    <w:p w:rsidR="00243A20" w:rsidRPr="00957621" w:rsidRDefault="00243A20" w:rsidP="00243A20">
      <w:pPr>
        <w:bidi/>
        <w:rPr>
          <w:b/>
          <w:bCs/>
          <w:sz w:val="32"/>
          <w:szCs w:val="32"/>
          <w:rtl/>
        </w:rPr>
      </w:pPr>
      <w:r w:rsidRPr="00957621">
        <w:rPr>
          <w:rFonts w:hint="cs"/>
          <w:b/>
          <w:bCs/>
          <w:sz w:val="32"/>
          <w:szCs w:val="32"/>
          <w:rtl/>
        </w:rPr>
        <w:t xml:space="preserve">علم اللغة / المرحلة الثالثة </w:t>
      </w:r>
    </w:p>
    <w:p w:rsidR="00957621" w:rsidRPr="00957621" w:rsidRDefault="00957621" w:rsidP="00957621">
      <w:pPr>
        <w:bidi/>
        <w:rPr>
          <w:b/>
          <w:bCs/>
          <w:sz w:val="32"/>
          <w:szCs w:val="32"/>
          <w:rtl/>
        </w:rPr>
      </w:pPr>
      <w:proofErr w:type="spellStart"/>
      <w:r w:rsidRPr="00957621">
        <w:rPr>
          <w:rFonts w:hint="cs"/>
          <w:b/>
          <w:bCs/>
          <w:sz w:val="32"/>
          <w:szCs w:val="32"/>
          <w:rtl/>
        </w:rPr>
        <w:t>د.صباح</w:t>
      </w:r>
      <w:proofErr w:type="spellEnd"/>
      <w:r w:rsidRPr="00957621">
        <w:rPr>
          <w:rFonts w:hint="cs"/>
          <w:b/>
          <w:bCs/>
          <w:sz w:val="32"/>
          <w:szCs w:val="32"/>
          <w:rtl/>
        </w:rPr>
        <w:t xml:space="preserve"> كاظم بحر </w:t>
      </w:r>
    </w:p>
    <w:p w:rsidR="00243A20" w:rsidRPr="00957621" w:rsidRDefault="00243A20" w:rsidP="00C839EF">
      <w:pPr>
        <w:bidi/>
        <w:rPr>
          <w:b/>
          <w:bCs/>
          <w:sz w:val="32"/>
          <w:szCs w:val="32"/>
          <w:rtl/>
        </w:rPr>
      </w:pPr>
      <w:bookmarkStart w:id="0" w:name="_GoBack"/>
      <w:bookmarkEnd w:id="0"/>
      <w:r w:rsidRPr="00957621">
        <w:rPr>
          <w:rFonts w:hint="cs"/>
          <w:b/>
          <w:bCs/>
          <w:sz w:val="32"/>
          <w:szCs w:val="32"/>
          <w:rtl/>
        </w:rPr>
        <w:t xml:space="preserve">تسلسل المحاضرة / </w:t>
      </w:r>
      <w:r w:rsidR="00C839EF" w:rsidRPr="00957621">
        <w:rPr>
          <w:rFonts w:hint="cs"/>
          <w:b/>
          <w:bCs/>
          <w:sz w:val="32"/>
          <w:szCs w:val="32"/>
          <w:rtl/>
        </w:rPr>
        <w:t>13</w:t>
      </w:r>
    </w:p>
    <w:p w:rsidR="007A4D14" w:rsidRPr="00957621" w:rsidRDefault="00727232" w:rsidP="00243A20">
      <w:pPr>
        <w:bidi/>
        <w:jc w:val="center"/>
        <w:rPr>
          <w:b/>
          <w:bCs/>
          <w:sz w:val="32"/>
          <w:szCs w:val="32"/>
          <w:rtl/>
        </w:rPr>
      </w:pPr>
      <w:proofErr w:type="spellStart"/>
      <w:r w:rsidRPr="00957621">
        <w:rPr>
          <w:rFonts w:hint="cs"/>
          <w:b/>
          <w:bCs/>
          <w:sz w:val="32"/>
          <w:szCs w:val="32"/>
          <w:rtl/>
        </w:rPr>
        <w:t>الفونيمات</w:t>
      </w:r>
      <w:proofErr w:type="spellEnd"/>
      <w:r w:rsidRPr="00957621">
        <w:rPr>
          <w:rFonts w:hint="cs"/>
          <w:b/>
          <w:bCs/>
          <w:sz w:val="32"/>
          <w:szCs w:val="32"/>
          <w:rtl/>
        </w:rPr>
        <w:t xml:space="preserve"> فوق التركيبية </w:t>
      </w:r>
    </w:p>
    <w:p w:rsidR="007A4D14" w:rsidRPr="00957621" w:rsidRDefault="007A4D14" w:rsidP="00243A20">
      <w:pPr>
        <w:bidi/>
        <w:rPr>
          <w:sz w:val="32"/>
          <w:szCs w:val="32"/>
        </w:rPr>
      </w:pPr>
      <w:proofErr w:type="spellStart"/>
      <w:r w:rsidRPr="00957621">
        <w:rPr>
          <w:b/>
          <w:bCs/>
          <w:sz w:val="32"/>
          <w:szCs w:val="32"/>
          <w:rtl/>
        </w:rPr>
        <w:t>الفونيم</w:t>
      </w:r>
      <w:proofErr w:type="spellEnd"/>
      <w:r w:rsidRPr="00957621">
        <w:rPr>
          <w:b/>
          <w:bCs/>
          <w:sz w:val="32"/>
          <w:szCs w:val="32"/>
          <w:rtl/>
        </w:rPr>
        <w:t xml:space="preserve"> وعلاقته بالتّنغيم</w:t>
      </w:r>
      <w:r w:rsidRPr="00957621">
        <w:rPr>
          <w:b/>
          <w:bCs/>
          <w:sz w:val="32"/>
          <w:szCs w:val="32"/>
        </w:rPr>
        <w:t>:</w:t>
      </w:r>
    </w:p>
    <w:p w:rsidR="007A4D14" w:rsidRPr="00243A20" w:rsidRDefault="007A4D14" w:rsidP="00727232">
      <w:pPr>
        <w:bidi/>
        <w:jc w:val="both"/>
        <w:rPr>
          <w:sz w:val="32"/>
          <w:szCs w:val="32"/>
        </w:rPr>
      </w:pPr>
      <w:r w:rsidRPr="00243A20">
        <w:rPr>
          <w:sz w:val="32"/>
          <w:szCs w:val="32"/>
          <w:rtl/>
        </w:rPr>
        <w:t xml:space="preserve">الذي يدقق النظر في مفهوم </w:t>
      </w:r>
      <w:proofErr w:type="spellStart"/>
      <w:r w:rsidR="00727232">
        <w:rPr>
          <w:rFonts w:hint="cs"/>
          <w:sz w:val="32"/>
          <w:szCs w:val="32"/>
          <w:rtl/>
        </w:rPr>
        <w:t>الفونيمات</w:t>
      </w:r>
      <w:proofErr w:type="spellEnd"/>
      <w:r w:rsidR="00727232">
        <w:rPr>
          <w:rFonts w:hint="cs"/>
          <w:sz w:val="32"/>
          <w:szCs w:val="32"/>
          <w:rtl/>
        </w:rPr>
        <w:t xml:space="preserve"> فوق </w:t>
      </w:r>
      <w:proofErr w:type="gramStart"/>
      <w:r w:rsidR="00727232">
        <w:rPr>
          <w:rFonts w:hint="cs"/>
          <w:sz w:val="32"/>
          <w:szCs w:val="32"/>
          <w:rtl/>
        </w:rPr>
        <w:t xml:space="preserve">التركيبية </w:t>
      </w:r>
      <w:r w:rsidRPr="00243A20">
        <w:rPr>
          <w:sz w:val="32"/>
          <w:szCs w:val="32"/>
          <w:rtl/>
        </w:rPr>
        <w:t>،</w:t>
      </w:r>
      <w:proofErr w:type="gramEnd"/>
      <w:r w:rsidRPr="00243A20">
        <w:rPr>
          <w:sz w:val="32"/>
          <w:szCs w:val="32"/>
          <w:rtl/>
        </w:rPr>
        <w:t xml:space="preserve"> يجد ارتباط التنغيم به واضحاً، فليس التنغيم جزءاً من التركيب اللغوي في الجملة، بل هو حدث طارئ على التركيب يصاحبه، ويتغير نتيجة تغيره في السياق اللغوي الجاري فيه، إذ يربط التنغيم عناصر التركيب بعضها ببع</w:t>
      </w:r>
      <w:r w:rsidRPr="00243A20">
        <w:rPr>
          <w:rFonts w:hint="cs"/>
          <w:sz w:val="32"/>
          <w:szCs w:val="32"/>
          <w:rtl/>
        </w:rPr>
        <w:t xml:space="preserve">، وهو </w:t>
      </w:r>
      <w:proofErr w:type="spellStart"/>
      <w:r w:rsidRPr="00243A20">
        <w:rPr>
          <w:rFonts w:hint="cs"/>
          <w:sz w:val="32"/>
          <w:szCs w:val="32"/>
          <w:rtl/>
        </w:rPr>
        <w:t>فونيم</w:t>
      </w:r>
      <w:proofErr w:type="spellEnd"/>
      <w:r w:rsidRPr="00243A20">
        <w:rPr>
          <w:rFonts w:hint="cs"/>
          <w:sz w:val="32"/>
          <w:szCs w:val="32"/>
          <w:rtl/>
        </w:rPr>
        <w:t xml:space="preserve"> غير تركيبي لقدرته على تغيير معنى الصيغة من التعجب الى الاستفهام ونحو ذلك في السياقات الصوتية التي تتغير معاني الكلمات فيها بتغيير التنغيم على </w:t>
      </w:r>
      <w:proofErr w:type="spellStart"/>
      <w:r w:rsidRPr="00243A20">
        <w:rPr>
          <w:rFonts w:hint="cs"/>
          <w:sz w:val="32"/>
          <w:szCs w:val="32"/>
          <w:rtl/>
        </w:rPr>
        <w:t>فونيماتها</w:t>
      </w:r>
      <w:proofErr w:type="spellEnd"/>
      <w:r w:rsidRPr="00243A20">
        <w:rPr>
          <w:rFonts w:hint="cs"/>
          <w:sz w:val="32"/>
          <w:szCs w:val="32"/>
          <w:rtl/>
        </w:rPr>
        <w:t xml:space="preserve"> الاصلية </w:t>
      </w:r>
      <w:r w:rsidRPr="00243A20">
        <w:rPr>
          <w:sz w:val="32"/>
          <w:szCs w:val="32"/>
        </w:rPr>
        <w:t>.</w:t>
      </w:r>
    </w:p>
    <w:p w:rsidR="007A4D14" w:rsidRPr="00243A20" w:rsidRDefault="007A4D14" w:rsidP="00243A20">
      <w:pPr>
        <w:bidi/>
        <w:rPr>
          <w:sz w:val="32"/>
          <w:szCs w:val="32"/>
        </w:rPr>
      </w:pPr>
      <w:r w:rsidRPr="00243A20">
        <w:rPr>
          <w:b/>
          <w:bCs/>
          <w:sz w:val="32"/>
          <w:szCs w:val="32"/>
          <w:u w:val="single"/>
          <w:rtl/>
        </w:rPr>
        <w:t>النّبر وعلاقته بالتّنغيم</w:t>
      </w:r>
      <w:r w:rsidRPr="00243A20">
        <w:rPr>
          <w:b/>
          <w:bCs/>
          <w:sz w:val="32"/>
          <w:szCs w:val="32"/>
          <w:u w:val="single"/>
        </w:rPr>
        <w:t>:</w:t>
      </w:r>
    </w:p>
    <w:p w:rsidR="007A4D14" w:rsidRPr="00243A20" w:rsidRDefault="007A4D14" w:rsidP="00243A20">
      <w:pPr>
        <w:bidi/>
        <w:jc w:val="both"/>
        <w:rPr>
          <w:sz w:val="32"/>
          <w:szCs w:val="32"/>
        </w:rPr>
      </w:pPr>
      <w:r w:rsidRPr="00243A20">
        <w:rPr>
          <w:sz w:val="32"/>
          <w:szCs w:val="32"/>
          <w:rtl/>
        </w:rPr>
        <w:t xml:space="preserve">النّبر هو صنف من التنغيم مثالاً على </w:t>
      </w:r>
      <w:proofErr w:type="spellStart"/>
      <w:r w:rsidRPr="00243A20">
        <w:rPr>
          <w:sz w:val="32"/>
          <w:szCs w:val="32"/>
          <w:rtl/>
        </w:rPr>
        <w:t>الفونيم</w:t>
      </w:r>
      <w:proofErr w:type="spellEnd"/>
      <w:r w:rsidRPr="00243A20">
        <w:rPr>
          <w:sz w:val="32"/>
          <w:szCs w:val="32"/>
          <w:rtl/>
        </w:rPr>
        <w:t xml:space="preserve"> الثانوية، فلا يكون كذلك جزءاً من تركيب معين، إنما يكون بزيادة كمية من الهواء على صوت أو أكثر من أصوات الكلمة في التركيب الواحد، فيعلو هذا الصوت على بقية الأصوات الأخرى التي تشكل مقاطع الكلمة فيحدث التفاوت قوة وضعفاً بين الأصوات</w:t>
      </w:r>
      <w:r w:rsidRPr="00243A20">
        <w:rPr>
          <w:sz w:val="32"/>
          <w:szCs w:val="32"/>
        </w:rPr>
        <w:t>.</w:t>
      </w:r>
    </w:p>
    <w:p w:rsidR="007A4D14" w:rsidRPr="00243A20" w:rsidRDefault="007A4D14" w:rsidP="00243A20">
      <w:pPr>
        <w:bidi/>
        <w:jc w:val="both"/>
        <w:rPr>
          <w:sz w:val="32"/>
          <w:szCs w:val="32"/>
        </w:rPr>
      </w:pPr>
      <w:r w:rsidRPr="00243A20">
        <w:rPr>
          <w:sz w:val="32"/>
          <w:szCs w:val="32"/>
          <w:rtl/>
        </w:rPr>
        <w:t xml:space="preserve">إذن، فـالنبر هو “وضوح نسبي لصوت أو لمقطع إذا قورن بغيره من الأصوات أو المقاطع المجاورة؛ فالصوت أو المقطع الذي ينطق بصورة أقوى يسمى صوتاً </w:t>
      </w:r>
      <w:proofErr w:type="spellStart"/>
      <w:proofErr w:type="gramStart"/>
      <w:r w:rsidRPr="00243A20">
        <w:rPr>
          <w:sz w:val="32"/>
          <w:szCs w:val="32"/>
          <w:rtl/>
        </w:rPr>
        <w:t>منبورا</w:t>
      </w:r>
      <w:proofErr w:type="spellEnd"/>
      <w:r w:rsidRPr="00243A20">
        <w:rPr>
          <w:sz w:val="32"/>
          <w:szCs w:val="32"/>
          <w:rtl/>
        </w:rPr>
        <w:t xml:space="preserve">  أو</w:t>
      </w:r>
      <w:proofErr w:type="gramEnd"/>
      <w:r w:rsidRPr="00243A20">
        <w:rPr>
          <w:sz w:val="32"/>
          <w:szCs w:val="32"/>
          <w:rtl/>
        </w:rPr>
        <w:t xml:space="preserve"> هو “قوة التلفظ النسبية التي تُعطى </w:t>
      </w:r>
      <w:proofErr w:type="spellStart"/>
      <w:r w:rsidRPr="00243A20">
        <w:rPr>
          <w:sz w:val="32"/>
          <w:szCs w:val="32"/>
          <w:rtl/>
        </w:rPr>
        <w:t>للصائت</w:t>
      </w:r>
      <w:proofErr w:type="spellEnd"/>
      <w:r w:rsidRPr="00243A20">
        <w:rPr>
          <w:sz w:val="32"/>
          <w:szCs w:val="32"/>
          <w:rtl/>
        </w:rPr>
        <w:t xml:space="preserve"> في كل مقطع من مقاطع الكلمة، وتؤثر درجة النبرة في طول الصامت وعلو الصوت</w:t>
      </w:r>
      <w:r w:rsidRPr="00243A20">
        <w:rPr>
          <w:sz w:val="32"/>
          <w:szCs w:val="32"/>
        </w:rPr>
        <w:t>”</w:t>
      </w:r>
    </w:p>
    <w:p w:rsidR="007A4D14" w:rsidRPr="00243A20" w:rsidRDefault="007A4D14" w:rsidP="00243A20">
      <w:pPr>
        <w:bidi/>
        <w:jc w:val="both"/>
        <w:rPr>
          <w:sz w:val="32"/>
          <w:szCs w:val="32"/>
        </w:rPr>
      </w:pPr>
      <w:r w:rsidRPr="00243A20">
        <w:rPr>
          <w:sz w:val="32"/>
          <w:szCs w:val="32"/>
          <w:rtl/>
        </w:rPr>
        <w:t xml:space="preserve">والصوت </w:t>
      </w:r>
      <w:proofErr w:type="spellStart"/>
      <w:r w:rsidRPr="00243A20">
        <w:rPr>
          <w:sz w:val="32"/>
          <w:szCs w:val="32"/>
          <w:rtl/>
        </w:rPr>
        <w:t>المنبور</w:t>
      </w:r>
      <w:proofErr w:type="spellEnd"/>
      <w:r w:rsidRPr="00243A20">
        <w:rPr>
          <w:sz w:val="32"/>
          <w:szCs w:val="32"/>
          <w:rtl/>
        </w:rPr>
        <w:t xml:space="preserve"> عند النطق به “نلحظ أن جميع أعضاء النطق تنشط غاية النشاط؛ إذْ تنشط عضلات الرئتين نشاطاً كبيراً، كما تقوى حركات الوترين الصوتيين ويقتربان أحدهما من الآخر، ليسمحا بتسرب أقل مقدار من الهواء فتعظم لذلك سعة الذبذبات</w:t>
      </w:r>
    </w:p>
    <w:p w:rsidR="007A4D14" w:rsidRPr="00243A20" w:rsidRDefault="007A4D14" w:rsidP="00243A20">
      <w:pPr>
        <w:bidi/>
        <w:jc w:val="both"/>
        <w:rPr>
          <w:sz w:val="32"/>
          <w:szCs w:val="32"/>
        </w:rPr>
      </w:pPr>
      <w:r w:rsidRPr="00243A20">
        <w:rPr>
          <w:sz w:val="32"/>
          <w:szCs w:val="32"/>
          <w:rtl/>
        </w:rPr>
        <w:t xml:space="preserve">وهكذا، فإن للنبر أثراً في تغيير بنية الكلمة من معنى صرفي إلى آخر، فأنت لو نطقت كلمة (كَتَبَ) مثلاً بفتحة على عين الفعل، لوجدت أن الأصوات فيها متساوية نبراً، لكن </w:t>
      </w:r>
      <w:r w:rsidRPr="00243A20">
        <w:rPr>
          <w:sz w:val="32"/>
          <w:szCs w:val="32"/>
          <w:rtl/>
        </w:rPr>
        <w:lastRenderedPageBreak/>
        <w:t>إذا ما نطقتها ب(كَتَّبَ) بالتضعيف، فإن عين الفعل تفاوت في النبر عن الأصوات الأخرى، مما جعله يَنقل الكلمة إلى بنية أخرى ذاتِ دلالة معينة، وهذا ما أشار إليه الدكتور كمال بشر بقوله: “ومن البديهي أنّ تغيير الصفة الصرفية، يؤدّي إلى نوع من التغير في الوظائف النحوية والدلالية</w:t>
      </w:r>
    </w:p>
    <w:p w:rsidR="007A4D14" w:rsidRPr="00243A20" w:rsidRDefault="007A4D14" w:rsidP="00243A20">
      <w:pPr>
        <w:bidi/>
        <w:jc w:val="both"/>
        <w:rPr>
          <w:sz w:val="32"/>
          <w:szCs w:val="32"/>
        </w:rPr>
      </w:pPr>
      <w:r w:rsidRPr="00243A20">
        <w:rPr>
          <w:sz w:val="32"/>
          <w:szCs w:val="32"/>
          <w:rtl/>
        </w:rPr>
        <w:t xml:space="preserve">من هنا جاءت أهمية النبر والتنغيم في الدراسات اللغوية، فالتنغيم” صلته بالنبر وثيقة، فلا يحدث تنغيم دون نبر للمقطع الأخير من الجملة، أي في الكلمة التي تقع في آخر الجملة، وهما من الوحدات الصوتية التي “لها وظيفة معينة في التركيب الصوتي، لأنها جزء أساسي منه، فهي ليست ظواهر تطريزية وإنما </w:t>
      </w:r>
      <w:proofErr w:type="spellStart"/>
      <w:r w:rsidRPr="00243A20">
        <w:rPr>
          <w:sz w:val="32"/>
          <w:szCs w:val="32"/>
          <w:rtl/>
        </w:rPr>
        <w:t>فونيمات</w:t>
      </w:r>
      <w:proofErr w:type="spellEnd"/>
      <w:r w:rsidRPr="00243A20">
        <w:rPr>
          <w:sz w:val="32"/>
          <w:szCs w:val="32"/>
          <w:rtl/>
        </w:rPr>
        <w:t xml:space="preserve"> أساسية أو أولية</w:t>
      </w:r>
      <w:r w:rsidRPr="00243A20">
        <w:rPr>
          <w:sz w:val="32"/>
          <w:szCs w:val="32"/>
        </w:rPr>
        <w:t>.</w:t>
      </w:r>
    </w:p>
    <w:p w:rsidR="007A4D14" w:rsidRPr="00243A20" w:rsidRDefault="007A4D14" w:rsidP="00243A20">
      <w:pPr>
        <w:bidi/>
        <w:rPr>
          <w:sz w:val="32"/>
          <w:szCs w:val="32"/>
        </w:rPr>
      </w:pPr>
      <w:r w:rsidRPr="00243A20">
        <w:rPr>
          <w:b/>
          <w:bCs/>
          <w:sz w:val="32"/>
          <w:szCs w:val="32"/>
          <w:u w:val="single"/>
          <w:rtl/>
        </w:rPr>
        <w:t>دلالة التنغيم</w:t>
      </w:r>
      <w:r w:rsidRPr="00243A20">
        <w:rPr>
          <w:b/>
          <w:bCs/>
          <w:sz w:val="32"/>
          <w:szCs w:val="32"/>
          <w:u w:val="single"/>
        </w:rPr>
        <w:t>:</w:t>
      </w:r>
    </w:p>
    <w:p w:rsidR="007A4D14" w:rsidRPr="00243A20" w:rsidRDefault="007A4D14" w:rsidP="00243A20">
      <w:pPr>
        <w:bidi/>
        <w:jc w:val="both"/>
        <w:rPr>
          <w:sz w:val="32"/>
          <w:szCs w:val="32"/>
        </w:rPr>
      </w:pPr>
      <w:r w:rsidRPr="00243A20">
        <w:rPr>
          <w:sz w:val="32"/>
          <w:szCs w:val="32"/>
          <w:rtl/>
        </w:rPr>
        <w:t xml:space="preserve">أن دراسة التنغيم من أهم جوانب الدراسة الصوتية خصوصاً واللغوية عموماً، بل من أكثرها خطورة بسبب تعدد النغمات في البيئة أو البيئات اللغوية، فالتنغيم “تغييرات موسيقية تتناوب الصوت من صعود إلى هبوط، أو من انخفاض إلى ارتفاع، تحصل في كلامنا وأحاديثنا لغاية وهدف، وذلك حسب المشاعر والأحاسيس التي تنتابنا من رضى وغضب ويأس وأمل وتأثر ولا مبالاة، وإعجاب واستفهام وشك ويقين، ونفي أو إثبات، فنستعين بهذا التغيير النغمي الذي يقوم بدور كبير في التفريق بين الجمل؛ فنغمة الاستفهام تختلف عن نغمة الإخبار، ونغمة النفي تختلف عن نغمة الإثبات. وهذا ما أشار إليه الدكتور سمير </w:t>
      </w:r>
      <w:proofErr w:type="spellStart"/>
      <w:r w:rsidRPr="00243A20">
        <w:rPr>
          <w:sz w:val="32"/>
          <w:szCs w:val="32"/>
          <w:rtl/>
        </w:rPr>
        <w:t>ستيتيّة</w:t>
      </w:r>
      <w:proofErr w:type="spellEnd"/>
      <w:r w:rsidRPr="00243A20">
        <w:rPr>
          <w:sz w:val="32"/>
          <w:szCs w:val="32"/>
          <w:rtl/>
        </w:rPr>
        <w:t xml:space="preserve"> بقولـه: “قد تكون النغمة نغمة تفاؤل ويسميّها بعضهم النغمة الوجدانية، وقد تكون تشكّك أو ضجر أو يأس أو استسلام، أو غير ذلك مما له علاقة بسيكولوجية المتكلم</w:t>
      </w:r>
      <w:r w:rsidRPr="00243A20">
        <w:rPr>
          <w:sz w:val="32"/>
          <w:szCs w:val="32"/>
        </w:rPr>
        <w:t>.</w:t>
      </w:r>
    </w:p>
    <w:p w:rsidR="007A4D14" w:rsidRPr="00243A20" w:rsidRDefault="007A4D14" w:rsidP="00243A20">
      <w:pPr>
        <w:bidi/>
        <w:jc w:val="both"/>
        <w:rPr>
          <w:sz w:val="32"/>
          <w:szCs w:val="32"/>
        </w:rPr>
      </w:pPr>
      <w:r w:rsidRPr="00243A20">
        <w:rPr>
          <w:sz w:val="32"/>
          <w:szCs w:val="32"/>
          <w:rtl/>
        </w:rPr>
        <w:t>هذا ما يحدث في التنغيم، فهو حَكَم في دلالات التراكيب والجمل، إذْ يغيّر الجملة من تركيب إلى آخر ومن باب إلى باب… وبذلك يتمايز عن (النبر)، حيث “يعمل التنغيم على مستوى الجملة وليس على مستوى الكلمة، في حين يكون النبر على الكلمة وحدها ويدل على حدودها</w:t>
      </w:r>
      <w:r w:rsidRPr="00243A20">
        <w:rPr>
          <w:sz w:val="32"/>
          <w:szCs w:val="32"/>
        </w:rPr>
        <w:t>.</w:t>
      </w:r>
    </w:p>
    <w:p w:rsidR="007A4D14" w:rsidRPr="00243A20" w:rsidRDefault="007A4D14" w:rsidP="00243A20">
      <w:pPr>
        <w:bidi/>
        <w:rPr>
          <w:sz w:val="32"/>
          <w:szCs w:val="32"/>
        </w:rPr>
      </w:pPr>
      <w:r w:rsidRPr="00243A20">
        <w:rPr>
          <w:sz w:val="32"/>
          <w:szCs w:val="32"/>
          <w:rtl/>
        </w:rPr>
        <w:t>وهكذا فإن المتتبع لكلام الناس، يلحظ التنغيم ظاهراً في كلامهم؛ فحديث التواصل بينهم وخطابهم بعضهم بعضاً، يكون التنغيم فيه أوسع من الكلام المكتوب</w:t>
      </w:r>
      <w:r w:rsidRPr="00243A20">
        <w:rPr>
          <w:sz w:val="32"/>
          <w:szCs w:val="32"/>
        </w:rPr>
        <w:t>.</w:t>
      </w:r>
    </w:p>
    <w:p w:rsidR="007A4D14" w:rsidRPr="00243A20" w:rsidRDefault="007A4D14" w:rsidP="00243A20">
      <w:pPr>
        <w:bidi/>
        <w:rPr>
          <w:sz w:val="32"/>
          <w:szCs w:val="32"/>
        </w:rPr>
      </w:pPr>
      <w:r w:rsidRPr="00243A20">
        <w:rPr>
          <w:sz w:val="32"/>
          <w:szCs w:val="32"/>
          <w:rtl/>
        </w:rPr>
        <w:t>وهذه بعض الأمثلة يكون فيها هذا النغم الموسيقي ذا دلالة في الكلام</w:t>
      </w:r>
      <w:r w:rsidRPr="00243A20">
        <w:rPr>
          <w:sz w:val="32"/>
          <w:szCs w:val="32"/>
        </w:rPr>
        <w:t>:</w:t>
      </w:r>
    </w:p>
    <w:p w:rsidR="007A4D14" w:rsidRPr="00243A20" w:rsidRDefault="007A4D14" w:rsidP="00243A20">
      <w:pPr>
        <w:bidi/>
        <w:rPr>
          <w:sz w:val="32"/>
          <w:szCs w:val="32"/>
        </w:rPr>
      </w:pPr>
      <w:r w:rsidRPr="00243A20">
        <w:rPr>
          <w:sz w:val="32"/>
          <w:szCs w:val="32"/>
        </w:rPr>
        <w:t>*</w:t>
      </w:r>
      <w:r w:rsidRPr="00243A20">
        <w:rPr>
          <w:sz w:val="32"/>
          <w:szCs w:val="32"/>
          <w:rtl/>
        </w:rPr>
        <w:t xml:space="preserve">قال تعالى: </w:t>
      </w:r>
      <w:proofErr w:type="gramStart"/>
      <w:r w:rsidR="00243A20">
        <w:rPr>
          <w:rFonts w:hint="cs"/>
          <w:sz w:val="32"/>
          <w:szCs w:val="32"/>
          <w:rtl/>
        </w:rPr>
        <w:t xml:space="preserve">[ </w:t>
      </w:r>
      <w:r w:rsidRPr="00243A20">
        <w:rPr>
          <w:sz w:val="32"/>
          <w:szCs w:val="32"/>
          <w:rtl/>
        </w:rPr>
        <w:t>قالوا</w:t>
      </w:r>
      <w:proofErr w:type="gramEnd"/>
      <w:r w:rsidRPr="00243A20">
        <w:rPr>
          <w:sz w:val="32"/>
          <w:szCs w:val="32"/>
          <w:rtl/>
        </w:rPr>
        <w:t>: فما جزاؤُه إنْ كنتم كاذبين؟ قالوا: جزاؤُه؟ مَنْ وُجِد في رَحْله فهو جزاؤه</w:t>
      </w:r>
      <w:r w:rsidR="00243A20">
        <w:rPr>
          <w:rFonts w:hint="cs"/>
          <w:sz w:val="32"/>
          <w:szCs w:val="32"/>
          <w:rtl/>
        </w:rPr>
        <w:t>]</w:t>
      </w:r>
      <w:r w:rsidRPr="00243A20">
        <w:rPr>
          <w:sz w:val="32"/>
          <w:szCs w:val="32"/>
          <w:rtl/>
        </w:rPr>
        <w:t>.</w:t>
      </w:r>
    </w:p>
    <w:p w:rsidR="007A4D14" w:rsidRPr="00243A20" w:rsidRDefault="007A4D14" w:rsidP="00243A20">
      <w:pPr>
        <w:bidi/>
        <w:rPr>
          <w:sz w:val="32"/>
          <w:szCs w:val="32"/>
        </w:rPr>
      </w:pPr>
      <w:r w:rsidRPr="00243A20">
        <w:rPr>
          <w:sz w:val="32"/>
          <w:szCs w:val="32"/>
          <w:rtl/>
        </w:rPr>
        <w:lastRenderedPageBreak/>
        <w:t>فالتنغيم هو الذي يحكم ذلك، إذْ كنتَ تجد في بعض الأحيان الإمامَ ينتصب قائماً وبعضُ المصلين جلوس، والعكس كذلك صحيح، وكل ذلك نتيجة خطأ الإمام في النغمة الموسيقية الصادرة عنه</w:t>
      </w:r>
      <w:r w:rsidRPr="00243A20">
        <w:rPr>
          <w:sz w:val="32"/>
          <w:szCs w:val="32"/>
        </w:rPr>
        <w:t>.</w:t>
      </w:r>
    </w:p>
    <w:p w:rsidR="007A4D14" w:rsidRPr="00243A20" w:rsidRDefault="007A4D14" w:rsidP="00243A20">
      <w:pPr>
        <w:bidi/>
        <w:rPr>
          <w:sz w:val="32"/>
          <w:szCs w:val="32"/>
        </w:rPr>
      </w:pPr>
      <w:r w:rsidRPr="00243A20">
        <w:rPr>
          <w:sz w:val="32"/>
          <w:szCs w:val="32"/>
          <w:rtl/>
        </w:rPr>
        <w:t>والتنغيم هو الذي يبرز خصائص بعض الأساليب والتراكيب التي تكون محذوفةً بعضُ عناصرها فمثلاً، هناك التراكيب التي تحتوي على أدوات استفهام وليست استفهامية، وتلك التي لا تحتويها والسياق يشير إلى الاستفهام فيها</w:t>
      </w:r>
      <w:r w:rsidRPr="00243A20">
        <w:rPr>
          <w:sz w:val="32"/>
          <w:szCs w:val="32"/>
        </w:rPr>
        <w:t>.</w:t>
      </w:r>
    </w:p>
    <w:p w:rsidR="007A4D14" w:rsidRPr="00243A20" w:rsidRDefault="007A4D14" w:rsidP="00243A20">
      <w:pPr>
        <w:bidi/>
        <w:rPr>
          <w:sz w:val="32"/>
          <w:szCs w:val="32"/>
        </w:rPr>
      </w:pPr>
      <w:r w:rsidRPr="00243A20">
        <w:rPr>
          <w:sz w:val="32"/>
          <w:szCs w:val="32"/>
          <w:rtl/>
        </w:rPr>
        <w:t>فمثال قوله تعالى</w:t>
      </w:r>
      <w:proofErr w:type="gramStart"/>
      <w:r w:rsidRPr="00243A20">
        <w:rPr>
          <w:sz w:val="32"/>
          <w:szCs w:val="32"/>
          <w:rtl/>
        </w:rPr>
        <w:t>: ]هل</w:t>
      </w:r>
      <w:proofErr w:type="gramEnd"/>
      <w:r w:rsidRPr="00243A20">
        <w:rPr>
          <w:sz w:val="32"/>
          <w:szCs w:val="32"/>
          <w:rtl/>
        </w:rPr>
        <w:t xml:space="preserve"> أتى على الإنسان حين من الدهر لم يكن شيئا مذكورا[، حيث حرف الاستفهام (هل) لا يشير إلى الاستفهام لأن الدلالة عن طريق التنغيم تقتضي التقرير، ويكون الحرف (هل) بمعنى (قد</w:t>
      </w:r>
      <w:r w:rsidR="00243A20">
        <w:rPr>
          <w:rFonts w:hint="cs"/>
          <w:sz w:val="32"/>
          <w:szCs w:val="32"/>
          <w:rtl/>
        </w:rPr>
        <w:t>) .</w:t>
      </w:r>
    </w:p>
    <w:p w:rsidR="007A4D14" w:rsidRPr="00243A20" w:rsidRDefault="007A4D14" w:rsidP="00243A20">
      <w:pPr>
        <w:bidi/>
        <w:rPr>
          <w:sz w:val="32"/>
          <w:szCs w:val="32"/>
        </w:rPr>
      </w:pPr>
      <w:r w:rsidRPr="00243A20">
        <w:rPr>
          <w:sz w:val="32"/>
          <w:szCs w:val="32"/>
          <w:rtl/>
        </w:rPr>
        <w:t xml:space="preserve">ومثال الثاني قوله تعالى: </w:t>
      </w:r>
      <w:proofErr w:type="gramStart"/>
      <w:r w:rsidR="00243A20">
        <w:rPr>
          <w:rFonts w:hint="cs"/>
          <w:sz w:val="32"/>
          <w:szCs w:val="32"/>
          <w:rtl/>
        </w:rPr>
        <w:t xml:space="preserve">[ </w:t>
      </w:r>
      <w:r w:rsidRPr="00243A20">
        <w:rPr>
          <w:sz w:val="32"/>
          <w:szCs w:val="32"/>
          <w:rtl/>
        </w:rPr>
        <w:t>يا</w:t>
      </w:r>
      <w:proofErr w:type="gramEnd"/>
      <w:r w:rsidRPr="00243A20">
        <w:rPr>
          <w:sz w:val="32"/>
          <w:szCs w:val="32"/>
          <w:rtl/>
        </w:rPr>
        <w:t xml:space="preserve"> أيها النبي، لمَ تحرّم ما أحل الله لك؟ تبتغي مرضات أزواجك</w:t>
      </w:r>
      <w:proofErr w:type="gramStart"/>
      <w:r w:rsidR="00243A20">
        <w:rPr>
          <w:rFonts w:hint="cs"/>
          <w:sz w:val="32"/>
          <w:szCs w:val="32"/>
          <w:rtl/>
        </w:rPr>
        <w:t>] .</w:t>
      </w:r>
      <w:proofErr w:type="gramEnd"/>
    </w:p>
    <w:p w:rsidR="007A4D14" w:rsidRPr="00243A20" w:rsidRDefault="007A4D14" w:rsidP="00243A20">
      <w:pPr>
        <w:bidi/>
        <w:rPr>
          <w:sz w:val="32"/>
          <w:szCs w:val="32"/>
        </w:rPr>
      </w:pPr>
      <w:r w:rsidRPr="00243A20">
        <w:rPr>
          <w:sz w:val="32"/>
          <w:szCs w:val="32"/>
          <w:rtl/>
        </w:rPr>
        <w:t xml:space="preserve">ففي قولـه تعالى: </w:t>
      </w:r>
      <w:proofErr w:type="gramStart"/>
      <w:r w:rsidR="00243A20">
        <w:rPr>
          <w:rFonts w:hint="cs"/>
          <w:sz w:val="32"/>
          <w:szCs w:val="32"/>
          <w:rtl/>
        </w:rPr>
        <w:t xml:space="preserve">[ </w:t>
      </w:r>
      <w:r w:rsidRPr="00243A20">
        <w:rPr>
          <w:sz w:val="32"/>
          <w:szCs w:val="32"/>
          <w:rtl/>
        </w:rPr>
        <w:t>تبتغي</w:t>
      </w:r>
      <w:proofErr w:type="gramEnd"/>
      <w:r w:rsidRPr="00243A20">
        <w:rPr>
          <w:sz w:val="32"/>
          <w:szCs w:val="32"/>
          <w:rtl/>
        </w:rPr>
        <w:t xml:space="preserve"> مرضات أزواجك</w:t>
      </w:r>
      <w:r w:rsidR="00243A20">
        <w:rPr>
          <w:rFonts w:hint="cs"/>
          <w:sz w:val="32"/>
          <w:szCs w:val="32"/>
          <w:rtl/>
        </w:rPr>
        <w:t xml:space="preserve">] </w:t>
      </w:r>
      <w:r w:rsidRPr="00243A20">
        <w:rPr>
          <w:sz w:val="32"/>
          <w:szCs w:val="32"/>
          <w:rtl/>
        </w:rPr>
        <w:t>يُلحظ التقرير؛ فأنت يا محمد تحرّم الحلال ابتغاء مرضات أزواجك، غير أن دلالة التنغيم تشير إلى الاستفهام الإنكاري: “تبتغي مرضات أزواجك؟”، أي لا تحرّم الحلال مرضاة أزواجك</w:t>
      </w:r>
      <w:r w:rsidRPr="00243A20">
        <w:rPr>
          <w:sz w:val="32"/>
          <w:szCs w:val="32"/>
        </w:rPr>
        <w:t>.</w:t>
      </w:r>
    </w:p>
    <w:p w:rsidR="007A4D14" w:rsidRPr="00243A20" w:rsidRDefault="007A4D14" w:rsidP="00243A20">
      <w:pPr>
        <w:bidi/>
        <w:rPr>
          <w:sz w:val="32"/>
          <w:szCs w:val="32"/>
          <w:rtl/>
        </w:rPr>
      </w:pPr>
    </w:p>
    <w:p w:rsidR="00C84E46" w:rsidRPr="00243A20" w:rsidRDefault="00957621" w:rsidP="00243A20">
      <w:pPr>
        <w:bidi/>
        <w:rPr>
          <w:sz w:val="32"/>
          <w:szCs w:val="32"/>
        </w:rPr>
      </w:pPr>
    </w:p>
    <w:sectPr w:rsidR="00C84E46" w:rsidRPr="00243A2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14"/>
    <w:rsid w:val="00243A20"/>
    <w:rsid w:val="00727232"/>
    <w:rsid w:val="007A4D14"/>
    <w:rsid w:val="007C599F"/>
    <w:rsid w:val="00957621"/>
    <w:rsid w:val="00B56E55"/>
    <w:rsid w:val="00C839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89B29-3BE4-4B58-A465-DB0891FA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636</Words>
  <Characters>3631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Dr.sabah</dc:creator>
  <cp:keywords/>
  <dc:description/>
  <cp:lastModifiedBy>Dr.sabah</cp:lastModifiedBy>
  <cp:revision>5</cp:revision>
  <dcterms:created xsi:type="dcterms:W3CDTF">2018-01-08T17:45:00Z</dcterms:created>
  <dcterms:modified xsi:type="dcterms:W3CDTF">2018-01-12T18:28:00Z</dcterms:modified>
</cp:coreProperties>
</file>