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الجامعة المستنصرية </w:t>
      </w:r>
      <w:r w:rsidR="00342CA9">
        <w:rPr>
          <w:rFonts w:cs="Simplified Arabic" w:hint="cs"/>
          <w:sz w:val="32"/>
          <w:szCs w:val="32"/>
          <w:rtl/>
          <w:lang w:bidi="ar-DZ"/>
        </w:rPr>
        <w:t>1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كلية الآداب </w:t>
      </w:r>
      <w:r>
        <w:rPr>
          <w:rFonts w:cs="Simplified Arabic"/>
          <w:sz w:val="32"/>
          <w:szCs w:val="32"/>
          <w:rtl/>
          <w:lang w:bidi="ar-DZ"/>
        </w:rPr>
        <w:t>–</w:t>
      </w:r>
      <w:r>
        <w:rPr>
          <w:rFonts w:cs="Simplified Arabic" w:hint="cs"/>
          <w:sz w:val="32"/>
          <w:szCs w:val="32"/>
          <w:rtl/>
          <w:lang w:bidi="ar-DZ"/>
        </w:rPr>
        <w:t xml:space="preserve"> قسم اللغة العربية 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استاذ المادة : د .ندى سالم عيدان الطائي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اسم المادة : النقد العربي القديم 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اسم المحاضرة : تمهيد في معنى النقد 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تسلسل المحاضرة :الاولى والثانية والثالثة  </w:t>
      </w:r>
    </w:p>
    <w:p w:rsidR="00711863" w:rsidRDefault="00711863" w:rsidP="00711863">
      <w:pPr>
        <w:tabs>
          <w:tab w:val="left" w:pos="4403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المرحلة :الثالثة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711863" w:rsidRDefault="00711863" w:rsidP="00711863">
      <w:pPr>
        <w:tabs>
          <w:tab w:val="left" w:pos="3518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ab/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لا شك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هو فن دراسة العمل </w:t>
      </w:r>
      <w:r>
        <w:rPr>
          <w:rFonts w:cs="Simplified Arabic" w:hint="cs"/>
          <w:sz w:val="32"/>
          <w:szCs w:val="32"/>
          <w:rtl/>
          <w:lang w:bidi="ar-DZ"/>
        </w:rPr>
        <w:t xml:space="preserve">الأدبي، </w:t>
      </w:r>
      <w:r w:rsidRPr="00002AE4">
        <w:rPr>
          <w:rFonts w:cs="Simplified Arabic" w:hint="cs"/>
          <w:sz w:val="32"/>
          <w:szCs w:val="32"/>
          <w:rtl/>
          <w:lang w:bidi="ar-DZ"/>
        </w:rPr>
        <w:t>لمعرفة جيده من رديئ</w:t>
      </w:r>
      <w:r>
        <w:rPr>
          <w:rFonts w:cs="Simplified Arabic" w:hint="cs"/>
          <w:sz w:val="32"/>
          <w:szCs w:val="32"/>
          <w:rtl/>
          <w:lang w:bidi="ar-DZ"/>
        </w:rPr>
        <w:t>ة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بتحليله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تفسيره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تقدير قيمته الفنية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ظهر عند العرب منذ العصر </w:t>
      </w:r>
      <w:r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لكنه كان يدور في فلك " الانطباعية الخالصة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الأحكام الجزئية التي تعتمد المفاضلة بين بيت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بيت</w:t>
      </w:r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>تمييز البيت المفرد</w:t>
      </w:r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>إرسال حكم عام في الترجيح بين شاعر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شاعر"</w:t>
      </w:r>
      <w:r w:rsidRPr="00002AE4">
        <w:rPr>
          <w:rFonts w:cs="Simplified Arabic"/>
          <w:sz w:val="32"/>
          <w:szCs w:val="32"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1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وعليه فالنقد الانطباعي كان في المراحل المبكرة للنقد العربي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فيا ترى ما مفهومه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خصائصه ؟ </w:t>
      </w:r>
    </w:p>
    <w:p w:rsidR="00711863" w:rsidRPr="00006AFE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06AFE">
        <w:rPr>
          <w:rFonts w:cs="Simplified Arabic" w:hint="cs"/>
          <w:b/>
          <w:bCs/>
          <w:sz w:val="32"/>
          <w:szCs w:val="32"/>
          <w:rtl/>
          <w:lang w:bidi="ar-DZ"/>
        </w:rPr>
        <w:t>مفهوم النقد الانطباعي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هو نقد يصدر من شخص تحت تأثير الانطباعات </w:t>
      </w:r>
      <w:r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>ية السريعة الذوقية</w:t>
      </w:r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المزاج الخاص الفردي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يصدر عن تفكير عميق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تأمل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دراسة معمقة،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يكون هذا النقد أحكاما جزئية عامة سريعة غير معللة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يصف فيها الناقد النص ولا يبين </w:t>
      </w:r>
      <w:r>
        <w:rPr>
          <w:rFonts w:cs="Simplified Arabic" w:hint="cs"/>
          <w:sz w:val="32"/>
          <w:szCs w:val="32"/>
          <w:rtl/>
          <w:lang w:bidi="ar-DZ"/>
        </w:rPr>
        <w:t>الأسباب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التي دفعته</w:t>
      </w:r>
      <w:r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ذلك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ويتميز هذا النوع من النقد بالسذاجة والبساطة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المبالغة في إصدار الأحكام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لأنه مبني على الانفعال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التأثر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النظرة العجلى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يبن على قواعد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أسس علمية صحيحة اتفق عليها العلماء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A60CA2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هذا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المتتبع للنصوص النقدية العربية منذ النشأة يراها " بسيطة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حيث كان الناقد يعتمد على ذوقه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انطباعه الفطري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يوجه نقده للشعر في كلمة</w:t>
      </w:r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جملة تجاه </w:t>
      </w: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بيت</w:t>
      </w:r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>عدة أبيات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كانت قد تركت في نفسه أثرا معينا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لان الانطباع البسيط فطري في </w:t>
      </w:r>
      <w:r>
        <w:rPr>
          <w:rFonts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2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نجد هذا النوع من النقد يتجسد في عبارات كثرت في ذلك العصر (بداية النقد) كأن يقول الناقد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هذا أشعر بيت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هذه أجمل قصيدة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أشعر الجن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الإنس... وغيرها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6AFE" w:rsidRDefault="00711863" w:rsidP="00711863">
      <w:pPr>
        <w:keepNext/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06AFE">
        <w:rPr>
          <w:rFonts w:cs="Simplified Arabic" w:hint="cs"/>
          <w:b/>
          <w:bCs/>
          <w:sz w:val="32"/>
          <w:szCs w:val="32"/>
          <w:rtl/>
          <w:lang w:bidi="ar-DZ"/>
        </w:rPr>
        <w:t>نماذج من نصوصه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* من صور النقد الانطباعي ما يكون ملاحظات سريعة جزئية تعتمد على الذوق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السليقة،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 من ذلك مثلا:"مر المسيب بن علس بمجلس قيس بن ثعلبة فاستنشدوه ف</w:t>
      </w:r>
      <w:r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هم ،فلما بلغ قوله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اس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 اله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د </w:t>
      </w:r>
      <w:r>
        <w:rPr>
          <w:rFonts w:cs="Simplified Arabic" w:hint="cs"/>
          <w:sz w:val="32"/>
          <w:szCs w:val="32"/>
          <w:rtl/>
          <w:lang w:bidi="ar-DZ"/>
        </w:rPr>
        <w:t>إذ</w:t>
      </w:r>
      <w:r w:rsidRPr="00002AE4">
        <w:rPr>
          <w:rFonts w:cs="Simplified Arabic" w:hint="cs"/>
          <w:sz w:val="32"/>
          <w:szCs w:val="32"/>
          <w:rtl/>
          <w:lang w:bidi="ar-DZ"/>
        </w:rPr>
        <w:t>كاره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ب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ناج</w:t>
      </w:r>
      <w:r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عليه الص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عرية م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كد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711863" w:rsidRPr="00002AE4" w:rsidRDefault="00711863" w:rsidP="00711863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فقال طرفه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صبي يلعب مع الصبيان: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استنوق الجمل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3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،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يريد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الشاعر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يصف الجمل ذكر من أوصافه ما يخص الناقة (الصيعرية)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هي سمة تكون في عنق الناقة لا في عنق الجمل.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وقد استعملها المسيب استعمالا خاطئا.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*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ذلك ما يروي</w:t>
      </w:r>
      <w:r>
        <w:rPr>
          <w:rFonts w:cs="Simplified Arabic" w:hint="cs"/>
          <w:sz w:val="32"/>
          <w:szCs w:val="32"/>
          <w:rtl/>
          <w:lang w:bidi="ar-DZ"/>
        </w:rPr>
        <w:t xml:space="preserve"> أنه: </w:t>
      </w:r>
      <w:r w:rsidRPr="00002AE4">
        <w:rPr>
          <w:rFonts w:cs="Simplified Arabic" w:hint="cs"/>
          <w:sz w:val="32"/>
          <w:szCs w:val="32"/>
          <w:rtl/>
          <w:lang w:bidi="ar-DZ"/>
        </w:rPr>
        <w:t>" كان النابغة الذبياني تضرب له قبة حمراء من أدم بسوق عكاظ فتأتيه الشعراء فتعرض عليه</w:t>
      </w:r>
      <w:r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>ها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فكان</w:t>
      </w:r>
      <w:r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>
        <w:rPr>
          <w:rFonts w:cs="Simplified Arabic" w:hint="cs"/>
          <w:sz w:val="32"/>
          <w:szCs w:val="32"/>
          <w:rtl/>
          <w:lang w:bidi="ar-DZ"/>
        </w:rPr>
        <w:t>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 الأعشى: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ميمون بن قيس،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أبو بصير،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ثم </w:t>
      </w:r>
      <w:r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 حسان بن ثابت الأنصاري: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 الجفنات الغر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ع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بالض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  <w:t>وَ</w:t>
      </w:r>
      <w:r w:rsidRPr="00002AE4">
        <w:rPr>
          <w:rFonts w:cs="Simplified Arabic" w:hint="cs"/>
          <w:sz w:val="32"/>
          <w:szCs w:val="32"/>
          <w:rtl/>
          <w:lang w:bidi="ar-DZ"/>
        </w:rPr>
        <w:t>أ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سياف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نا ي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ط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ن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ج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>
        <w:rPr>
          <w:rFonts w:cs="Simplified Arabic" w:hint="cs"/>
          <w:sz w:val="32"/>
          <w:szCs w:val="32"/>
          <w:rtl/>
          <w:lang w:bidi="ar-DZ"/>
        </w:rPr>
        <w:t>َةٍ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د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ما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نا ب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قاء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ابني م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فأك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م بنا خالا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كر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م بنا ابنما</w:t>
      </w:r>
    </w:p>
    <w:p w:rsidR="00711863" w:rsidRPr="00002AE4" w:rsidRDefault="00711863" w:rsidP="00711863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فقال له النابغة: أنت شاعر،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لكنك أقللت جفانك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أسيافك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فخرت بمن ولدت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تفخر بمن ولدك 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4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فهذا نقد انطباعي سليقي مبني على الذوق الفطري الذي يمكن صاحبه من تمييز كلام عن كلام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شاعر عن شاعر،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والمرجعية التي اعتمد عليها النابغة في قوله: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وفخرت بمن ولدت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تفخر بمن ولدك،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هي العرف القبلي السائد الذي يفخر بالآباء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الأجداد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لا يفخر بال</w:t>
      </w:r>
      <w:r>
        <w:rPr>
          <w:rFonts w:cs="Simplified Arabic" w:hint="cs"/>
          <w:sz w:val="32"/>
          <w:szCs w:val="32"/>
          <w:rtl/>
          <w:lang w:bidi="ar-DZ"/>
        </w:rPr>
        <w:t>أبناء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711863" w:rsidRPr="00FD0B39" w:rsidRDefault="00711863" w:rsidP="00711863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ومن أرقى الأمثلة كذلك ما يروى عن "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تحاكم الزبرقان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بن بدر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عمر بن الأهتم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عبدة بن الطبيب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المخبل السعدي</w:t>
      </w:r>
      <w:r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ربيعة بن حذار الأسدي في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أيهم </w:t>
      </w:r>
      <w:r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شعر؟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فقال للزبرقان:</w:t>
      </w:r>
      <w:r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أنت فشعرك كلحم اسخن لا هو انضج فأكل ولا ترك نيئا فينتفع به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أنت يا عمرو فإن شعرك كبرود حبر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5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يتلألأ فيها البصر فكلما أعيد فيها النظر نقص البصر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أنت يا مخبل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</w:t>
      </w:r>
      <w:r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شعرك قصر عن شعرهم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ارتفع عن شعر غيرهم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أنت يا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عبدة ف</w:t>
      </w:r>
      <w:r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 شعرك كمزادة </w:t>
      </w:r>
      <w:r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حكم خرزها 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6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فليس تقطر ولا تمطر"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7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هذه أحكام نقدية عامة مبهمة سريعة وليدة ذوق فطري متعجل،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غير مبنية على مقاييس واضحة،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وكذا الشأن في أغلب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النماذج في العصر </w:t>
      </w:r>
      <w:r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 فهي تجمع بين الجزئية والتعميم والتعبير عن الانطباع الكلي دون اللجوء</w:t>
      </w:r>
      <w:r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التعليل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C447E" w:rsidRDefault="00711863" w:rsidP="0071186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C447E">
        <w:rPr>
          <w:rFonts w:cs="Simplified Arabic" w:hint="cs"/>
          <w:b/>
          <w:bCs/>
          <w:sz w:val="32"/>
          <w:szCs w:val="32"/>
          <w:rtl/>
          <w:lang w:bidi="ar-DZ"/>
        </w:rPr>
        <w:t>العصر الإسلامي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Pr="000C447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عند مجيء</w:t>
      </w:r>
      <w:r>
        <w:rPr>
          <w:rFonts w:cs="Simplified Arabic" w:hint="cs"/>
          <w:sz w:val="32"/>
          <w:szCs w:val="32"/>
          <w:rtl/>
          <w:lang w:bidi="ar-DZ"/>
        </w:rPr>
        <w:t xml:space="preserve"> الإسلام </w:t>
      </w:r>
      <w:r w:rsidRPr="00002AE4">
        <w:rPr>
          <w:rFonts w:cs="Simplified Arabic" w:hint="cs"/>
          <w:sz w:val="32"/>
          <w:szCs w:val="32"/>
          <w:rtl/>
          <w:lang w:bidi="ar-DZ"/>
        </w:rPr>
        <w:t>ظهر صراع حول الدين الجديد بين الشعراء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أصبحت الأحكام النقدية تعتمد الصدق والقيم الخلقية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فقد أثر عن النبي (ص</w:t>
      </w:r>
      <w:r>
        <w:rPr>
          <w:rFonts w:cs="Simplified Arabic" w:hint="cs"/>
          <w:sz w:val="32"/>
          <w:szCs w:val="32"/>
          <w:rtl/>
          <w:lang w:bidi="ar-DZ"/>
        </w:rPr>
        <w:t>لى الله عليه وسلم</w:t>
      </w:r>
      <w:r w:rsidRPr="00002AE4">
        <w:rPr>
          <w:rFonts w:cs="Simplified Arabic" w:hint="cs"/>
          <w:sz w:val="32"/>
          <w:szCs w:val="32"/>
          <w:rtl/>
          <w:lang w:bidi="ar-DZ"/>
        </w:rPr>
        <w:t>)</w:t>
      </w:r>
      <w:r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يستحسن قول طرفة بن العبد ويتمثل به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س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بد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لك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الأيام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ما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كنت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جاهلا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ويأتيك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بالأخبار من لم تزو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>
        <w:rPr>
          <w:rFonts w:cs="Simplified Arabic" w:hint="cs"/>
          <w:sz w:val="32"/>
          <w:szCs w:val="32"/>
          <w:rtl/>
          <w:lang w:bidi="ar-DZ"/>
        </w:rPr>
        <w:t>ِ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وكذلك عرف عن عمر بن الخطاب نظرته الموضوعية في الشعر فقد روى ابن عباس رضي الله عنه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عمر سأله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ني لأشعر شعرائكم قلت: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من هو يا أمير المؤمنين؟ قال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زهير،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قلت: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ولم كان كذلك؟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قال: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لا يعاظل بين الكلام،و لا يتتبع حوشيه، ولا يمدح الرجل</w:t>
      </w:r>
      <w:r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بما فيه"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8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فالنقد في العصر </w:t>
      </w:r>
      <w:r>
        <w:rPr>
          <w:rFonts w:cs="Simplified Arabic" w:hint="cs"/>
          <w:sz w:val="32"/>
          <w:szCs w:val="32"/>
          <w:rtl/>
          <w:lang w:bidi="ar-DZ"/>
        </w:rPr>
        <w:t>الإسلامي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لا يختلف كثيرا عن النقد في العصر </w:t>
      </w:r>
      <w:r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 في منابعه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فهو يعتمد على الذوق والشعور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وهولا يزال ساذجا بسيطا.</w:t>
      </w:r>
    </w:p>
    <w:p w:rsidR="00711863" w:rsidRPr="00110F22" w:rsidRDefault="00711863" w:rsidP="0071186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110F2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العصر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الأموي: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ظهرت بيئات للنقد الحجاز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الشام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العراق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وبرز نقاد كابن </w:t>
      </w:r>
      <w:r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عتيق وسكينة بنت الحسين في الحجاز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وبعض اللغويين والرواة في العراق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وبعض الشعراء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الخلفاء في الشام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ففي الحجاز يروى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سكينة بنت الحسين كانت مهتمة بنقد</w:t>
      </w:r>
      <w:r>
        <w:rPr>
          <w:rFonts w:cs="Simplified Arabic" w:hint="cs"/>
          <w:sz w:val="32"/>
          <w:szCs w:val="32"/>
          <w:rtl/>
          <w:lang w:bidi="ar-DZ"/>
        </w:rPr>
        <w:t xml:space="preserve"> أشعار </w:t>
      </w:r>
      <w:r w:rsidRPr="00002AE4">
        <w:rPr>
          <w:rFonts w:cs="Simplified Arabic" w:hint="cs"/>
          <w:sz w:val="32"/>
          <w:szCs w:val="32"/>
          <w:rtl/>
          <w:lang w:bidi="ar-DZ"/>
        </w:rPr>
        <w:t>النسيب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فهي تأخذ عن جرير غلظة ذوقه برده الطيف حين أتاه زائر وقد علقت على قوله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ط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ص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ائ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دة 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الق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لوب</w:t>
      </w:r>
      <w:r>
        <w:rPr>
          <w:rFonts w:cs="Simplified Arabic" w:hint="cs"/>
          <w:sz w:val="32"/>
          <w:szCs w:val="32"/>
          <w:rtl/>
          <w:lang w:bidi="ar-DZ"/>
        </w:rPr>
        <w:t xml:space="preserve">ِ </w:t>
      </w:r>
      <w:r w:rsidRPr="00002AE4">
        <w:rPr>
          <w:rFonts w:cs="Simplified Arabic" w:hint="cs"/>
          <w:sz w:val="32"/>
          <w:szCs w:val="32"/>
          <w:rtl/>
          <w:lang w:bidi="ar-DZ"/>
        </w:rPr>
        <w:t>وليس ذا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حين الزيارة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فارجعي بسلام</w:t>
      </w:r>
    </w:p>
    <w:p w:rsidR="00711863" w:rsidRPr="00BD2DFD" w:rsidRDefault="00711863" w:rsidP="00711863">
      <w:pPr>
        <w:tabs>
          <w:tab w:val="center" w:pos="4536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وقالت</w:t>
      </w:r>
      <w:r>
        <w:rPr>
          <w:rFonts w:cs="Simplified Arabic" w:hint="cs"/>
          <w:sz w:val="32"/>
          <w:szCs w:val="32"/>
          <w:rtl/>
          <w:lang w:bidi="ar-DZ"/>
        </w:rPr>
        <w:t xml:space="preserve">: أفلا </w:t>
      </w:r>
      <w:r w:rsidRPr="00002AE4">
        <w:rPr>
          <w:rFonts w:cs="Simplified Arabic" w:hint="cs"/>
          <w:sz w:val="32"/>
          <w:szCs w:val="32"/>
          <w:rtl/>
          <w:lang w:bidi="ar-DZ"/>
        </w:rPr>
        <w:t>أخذت بيدها ورحبت بها وقلت</w:t>
      </w:r>
      <w:r>
        <w:rPr>
          <w:rFonts w:cs="Simplified Arabic" w:hint="cs"/>
          <w:sz w:val="32"/>
          <w:szCs w:val="32"/>
          <w:rtl/>
          <w:lang w:bidi="ar-DZ"/>
        </w:rPr>
        <w:t>: أ</w:t>
      </w:r>
      <w:r w:rsidRPr="00002AE4">
        <w:rPr>
          <w:rFonts w:cs="Simplified Arabic" w:hint="cs"/>
          <w:sz w:val="32"/>
          <w:szCs w:val="32"/>
          <w:rtl/>
          <w:lang w:bidi="ar-DZ"/>
        </w:rPr>
        <w:t>دخلي بسلام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أنت رجل عفيف 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9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ومن نقد الشعراء لبعضهم البعض ما رواه ابن سلام أن"عكرمة بن جرير حين سأل</w:t>
      </w:r>
      <w:r>
        <w:rPr>
          <w:rFonts w:cs="Simplified Arabic" w:hint="cs"/>
          <w:sz w:val="32"/>
          <w:szCs w:val="32"/>
          <w:rtl/>
          <w:lang w:bidi="ar-DZ"/>
        </w:rPr>
        <w:t xml:space="preserve"> أباه </w:t>
      </w:r>
      <w:r w:rsidRPr="00002AE4">
        <w:rPr>
          <w:rFonts w:cs="Simplified Arabic" w:hint="cs"/>
          <w:sz w:val="32"/>
          <w:szCs w:val="32"/>
          <w:rtl/>
          <w:lang w:bidi="ar-DZ"/>
        </w:rPr>
        <w:t>عن الشعراء،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فقال في </w:t>
      </w:r>
      <w:r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يجيد نعت الملوك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يصيب صفة الخمر"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10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حكم </w:t>
      </w:r>
      <w:r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في جرير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بأنه يغرف من بحر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الفرزدق ينحت من صخر.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وعلى الجملة فالنقد في العصر </w:t>
      </w:r>
      <w:r>
        <w:rPr>
          <w:rFonts w:cs="Simplified Arabic" w:hint="cs"/>
          <w:sz w:val="32"/>
          <w:szCs w:val="32"/>
          <w:rtl/>
          <w:lang w:bidi="ar-DZ"/>
        </w:rPr>
        <w:t>الإسلامي والأموي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نما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لكنه نمو في حدود ما</w:t>
      </w:r>
      <w:r>
        <w:rPr>
          <w:rFonts w:cs="Simplified Arabic" w:hint="cs"/>
          <w:sz w:val="32"/>
          <w:szCs w:val="32"/>
          <w:rtl/>
          <w:lang w:bidi="ar-DZ"/>
        </w:rPr>
        <w:t xml:space="preserve"> رأينا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 العصر </w:t>
      </w:r>
      <w:r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فلا يزال يستلهم الذوق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الشعور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ولا يزال نقدا جزئيا " بسيطا غير معقد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يزال الناقد يستوحي وجدانه الخاص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يرجع</w:t>
      </w:r>
      <w:r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مقاييس دقيقة"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asciiTheme="majorBidi" w:hAnsiTheme="majorBidi" w:cs="Simplified Arabic"/>
          <w:sz w:val="32"/>
          <w:szCs w:val="32"/>
          <w:rtl/>
          <w:lang w:bidi="ar-DZ"/>
        </w:rPr>
        <w:footnoteReference w:id="11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711863" w:rsidRPr="00002AE4" w:rsidRDefault="00711863" w:rsidP="00711863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>
        <w:rPr>
          <w:rFonts w:cs="Simplified Arabic" w:hint="cs"/>
          <w:sz w:val="32"/>
          <w:szCs w:val="32"/>
          <w:rtl/>
          <w:lang w:bidi="ar-DZ"/>
        </w:rPr>
        <w:t xml:space="preserve">إذا </w:t>
      </w:r>
      <w:r w:rsidRPr="00002AE4">
        <w:rPr>
          <w:rFonts w:cs="Simplified Arabic" w:hint="cs"/>
          <w:sz w:val="32"/>
          <w:szCs w:val="32"/>
          <w:rtl/>
          <w:lang w:bidi="ar-DZ"/>
        </w:rPr>
        <w:t>فالنقد لا يزال فطريا غير معلل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يعتمد الذوق </w:t>
      </w:r>
      <w:r>
        <w:rPr>
          <w:rFonts w:cs="Simplified Arabic" w:hint="cs"/>
          <w:sz w:val="32"/>
          <w:szCs w:val="32"/>
          <w:rtl/>
          <w:lang w:bidi="ar-DZ"/>
        </w:rPr>
        <w:t>الأدبي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المرهف لا القواعد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ذكر </w:t>
      </w:r>
      <w:r>
        <w:rPr>
          <w:rFonts w:cs="Simplified Arabic" w:hint="cs"/>
          <w:sz w:val="32"/>
          <w:szCs w:val="32"/>
          <w:rtl/>
          <w:lang w:bidi="ar-DZ"/>
        </w:rPr>
        <w:t>الأسباب،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يتخذ النقد في ذلك الوقت صورة الدراسة المنهجية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620ED5" w:rsidRDefault="00711863" w:rsidP="00711863">
      <w:pPr>
        <w:tabs>
          <w:tab w:val="left" w:pos="3113"/>
        </w:tabs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النقد لغة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cs="Simplified Arabic"/>
          <w:b/>
          <w:bCs/>
          <w:sz w:val="32"/>
          <w:szCs w:val="32"/>
          <w:rtl/>
          <w:lang w:bidi="ar-DZ"/>
        </w:rPr>
        <w:tab/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جاء في لسان العرب في مادة (نقد)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 النقد خلاف النسيئة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التنقاد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تمييز الدراهم</w:t>
      </w:r>
      <w:r>
        <w:rPr>
          <w:rFonts w:cs="Simplified Arabic" w:hint="cs"/>
          <w:sz w:val="32"/>
          <w:szCs w:val="32"/>
          <w:rtl/>
          <w:lang w:bidi="ar-DZ"/>
        </w:rPr>
        <w:t xml:space="preserve"> وإخراج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الزيف منها</w:t>
      </w:r>
      <w:r>
        <w:rPr>
          <w:rFonts w:cs="Simplified Arabic" w:hint="cs"/>
          <w:sz w:val="32"/>
          <w:szCs w:val="32"/>
          <w:rtl/>
          <w:lang w:bidi="ar-DZ"/>
        </w:rPr>
        <w:t>، أنشد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سيبوية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ي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اه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 الح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ص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 ف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ك</w:t>
      </w:r>
      <w:r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 w:hint="cs"/>
          <w:sz w:val="32"/>
          <w:szCs w:val="32"/>
          <w:rtl/>
          <w:lang w:bidi="ar-DZ"/>
        </w:rPr>
        <w:t xml:space="preserve">ّ </w:t>
      </w:r>
      <w:r w:rsidRPr="00002AE4">
        <w:rPr>
          <w:rFonts w:cs="Simplified Arabic" w:hint="cs"/>
          <w:sz w:val="32"/>
          <w:szCs w:val="32"/>
          <w:rtl/>
          <w:lang w:bidi="ar-DZ"/>
        </w:rPr>
        <w:t>ه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اج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ة</w:t>
      </w:r>
      <w:r>
        <w:rPr>
          <w:rFonts w:cs="Simplified Arabic" w:hint="cs"/>
          <w:sz w:val="32"/>
          <w:szCs w:val="32"/>
          <w:rtl/>
          <w:lang w:bidi="ar-DZ"/>
        </w:rPr>
        <w:t>ٍ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ي الد</w:t>
      </w:r>
      <w:r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راه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م ت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اد الص</w:t>
      </w:r>
      <w:r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يار</w:t>
      </w:r>
      <w:r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يف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 قد نقدها ينقدها نقدا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انتقدها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تنقدها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نقده </w:t>
      </w:r>
      <w:r>
        <w:rPr>
          <w:rFonts w:cs="Simplified Arabic" w:hint="cs"/>
          <w:sz w:val="32"/>
          <w:szCs w:val="32"/>
          <w:rtl/>
          <w:lang w:bidi="ar-DZ"/>
        </w:rPr>
        <w:t>إياه</w:t>
      </w:r>
      <w:r w:rsidRPr="00002AE4">
        <w:rPr>
          <w:rFonts w:cs="Simplified Arabic" w:hint="cs"/>
          <w:sz w:val="32"/>
          <w:szCs w:val="32"/>
          <w:rtl/>
          <w:lang w:bidi="ar-DZ"/>
        </w:rPr>
        <w:t>ا نقدا</w:t>
      </w:r>
      <w:r>
        <w:rPr>
          <w:rFonts w:cs="Simplified Arabic" w:hint="cs"/>
          <w:sz w:val="32"/>
          <w:szCs w:val="32"/>
          <w:rtl/>
          <w:lang w:bidi="ar-DZ"/>
        </w:rPr>
        <w:t>، أعطاه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فانتقدها</w:t>
      </w:r>
      <w:r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قبضها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ناقدت فلانا</w:t>
      </w:r>
      <w:r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ناقشته في </w:t>
      </w:r>
      <w:r>
        <w:rPr>
          <w:rFonts w:cs="Simplified Arabic" w:hint="cs"/>
          <w:sz w:val="32"/>
          <w:szCs w:val="32"/>
          <w:rtl/>
          <w:lang w:bidi="ar-DZ"/>
        </w:rPr>
        <w:t xml:space="preserve">الأمر.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نقد الطائر الفخ ينقده بمنقاره</w:t>
      </w:r>
      <w:r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ينقره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المنقاد منقاره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 حديث </w:t>
      </w:r>
      <w:r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الدرداء</w:t>
      </w:r>
      <w:r>
        <w:rPr>
          <w:rFonts w:cs="Simplified Arabic" w:hint="cs"/>
          <w:sz w:val="32"/>
          <w:szCs w:val="32"/>
          <w:rtl/>
          <w:lang w:bidi="ar-DZ"/>
        </w:rPr>
        <w:t xml:space="preserve">: إن </w:t>
      </w:r>
      <w:r w:rsidRPr="00002AE4">
        <w:rPr>
          <w:rFonts w:cs="Simplified Arabic" w:hint="cs"/>
          <w:sz w:val="32"/>
          <w:szCs w:val="32"/>
          <w:rtl/>
          <w:lang w:bidi="ar-DZ"/>
        </w:rPr>
        <w:t>نقدت الناس نقدوك</w:t>
      </w:r>
      <w:r>
        <w:rPr>
          <w:rFonts w:cs="Simplified Arabic" w:hint="cs"/>
          <w:sz w:val="32"/>
          <w:szCs w:val="32"/>
          <w:rtl/>
          <w:lang w:bidi="ar-DZ"/>
        </w:rPr>
        <w:t xml:space="preserve">، وإذا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تركتهم تركوك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ونقدت الجوزة انقدها</w:t>
      </w:r>
      <w:r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ضربتها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نقدته الحية لدغته".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يمكن استخلاص معاني كلمة نقد مما سبق كما يلي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فهي تعني تمييز الدراهم صحيحها من زائفها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تعني ال</w:t>
      </w:r>
      <w:r>
        <w:rPr>
          <w:rFonts w:cs="Simplified Arabic" w:hint="cs"/>
          <w:sz w:val="32"/>
          <w:szCs w:val="32"/>
          <w:rtl/>
          <w:lang w:bidi="ar-DZ"/>
        </w:rPr>
        <w:t>إعطاء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المنح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وتعني كذلك المناقشة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تعني إظهار العيوب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تمييز الجيد من الرديء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تعني كذلك الإيذاء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استعارها الباحثون في النصوص </w:t>
      </w:r>
      <w:r>
        <w:rPr>
          <w:rFonts w:cs="Simplified Arabic" w:hint="cs"/>
          <w:sz w:val="32"/>
          <w:szCs w:val="32"/>
          <w:rtl/>
          <w:lang w:bidi="ar-DZ"/>
        </w:rPr>
        <w:t>الأدبية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ليدلوا بها على الملكة التي يستطيعون بها معرفة الجيد من النصوص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الرديء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الجميل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القبيح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تنتجه هذه الملكة في </w:t>
      </w:r>
      <w:r>
        <w:rPr>
          <w:rFonts w:cs="Simplified Arabic" w:hint="cs"/>
          <w:sz w:val="32"/>
          <w:szCs w:val="32"/>
          <w:rtl/>
          <w:lang w:bidi="ar-DZ"/>
        </w:rPr>
        <w:t xml:space="preserve">الأدب </w:t>
      </w:r>
      <w:r w:rsidRPr="00002AE4">
        <w:rPr>
          <w:rFonts w:cs="Simplified Arabic" w:hint="cs"/>
          <w:sz w:val="32"/>
          <w:szCs w:val="32"/>
          <w:rtl/>
          <w:lang w:bidi="ar-DZ"/>
        </w:rPr>
        <w:t>من ملاحظات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آراء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أحكام مختلفة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وعليه فالنقد تحليل القطع </w:t>
      </w:r>
      <w:r>
        <w:rPr>
          <w:rFonts w:cs="Simplified Arabic" w:hint="cs"/>
          <w:sz w:val="32"/>
          <w:szCs w:val="32"/>
          <w:rtl/>
          <w:lang w:bidi="ar-DZ"/>
        </w:rPr>
        <w:t>الأدبية و</w:t>
      </w:r>
      <w:r w:rsidRPr="00002AE4">
        <w:rPr>
          <w:rFonts w:cs="Simplified Arabic" w:hint="cs"/>
          <w:sz w:val="32"/>
          <w:szCs w:val="32"/>
          <w:rtl/>
          <w:lang w:bidi="ar-DZ"/>
        </w:rPr>
        <w:t>تقدير ما لها من قيمة فنية</w:t>
      </w:r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>هو المرآة الصادقة التي تعكس نواحي الجمال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الحسن في العمل </w:t>
      </w:r>
      <w:r>
        <w:rPr>
          <w:rFonts w:cs="Simplified Arabic" w:hint="cs"/>
          <w:sz w:val="32"/>
          <w:szCs w:val="32"/>
          <w:rtl/>
          <w:lang w:bidi="ar-DZ"/>
        </w:rPr>
        <w:t xml:space="preserve">الأدبي،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تقف على مظاهر القوة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الضعف فيه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711863" w:rsidRPr="00620ED5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الأدب و</w:t>
      </w: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النقد: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من الواضح</w:t>
      </w:r>
      <w:r>
        <w:rPr>
          <w:rFonts w:cs="Simplified Arabic" w:hint="cs"/>
          <w:sz w:val="32"/>
          <w:szCs w:val="32"/>
          <w:rtl/>
          <w:lang w:bidi="ar-DZ"/>
        </w:rPr>
        <w:t xml:space="preserve"> أن 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وجد أولا ثم يوجد نقده " لسبب بسيط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يتخذه موضوعا له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هنا ينشأ الفرق البين بينهما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موضوعه الطبيعة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الحياة </w:t>
      </w:r>
      <w:r>
        <w:rPr>
          <w:rFonts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موضوعه </w:t>
      </w:r>
      <w:r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"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كما هناك فرق بين تاريخ </w:t>
      </w:r>
      <w:r>
        <w:rPr>
          <w:rFonts w:cs="Simplified Arabic" w:hint="cs"/>
          <w:sz w:val="32"/>
          <w:szCs w:val="32"/>
          <w:rtl/>
          <w:lang w:bidi="ar-DZ"/>
        </w:rPr>
        <w:t>الأدب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ف</w:t>
      </w:r>
      <w:r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يتناول كل </w:t>
      </w:r>
      <w:r>
        <w:rPr>
          <w:rFonts w:cs="Simplified Arabic" w:hint="cs"/>
          <w:sz w:val="32"/>
          <w:szCs w:val="32"/>
          <w:rtl/>
          <w:lang w:bidi="ar-DZ"/>
        </w:rPr>
        <w:t>الآثار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العقلية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الشعورية عند </w:t>
      </w:r>
      <w:r>
        <w:rPr>
          <w:rFonts w:cs="Simplified Arabic" w:hint="cs"/>
          <w:sz w:val="32"/>
          <w:szCs w:val="32"/>
          <w:rtl/>
          <w:lang w:bidi="ar-DZ"/>
        </w:rPr>
        <w:t>الأمة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متعقبا لها مع دورات التاريخ،</w:t>
      </w:r>
      <w:r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فلا يحاول هذا التاريخ الكبير</w:t>
      </w:r>
      <w:r>
        <w:rPr>
          <w:rFonts w:cs="Simplified Arabic" w:hint="cs"/>
          <w:sz w:val="32"/>
          <w:szCs w:val="32"/>
          <w:rtl/>
          <w:lang w:bidi="ar-DZ"/>
        </w:rPr>
        <w:t xml:space="preserve"> إذ </w:t>
      </w:r>
      <w:r w:rsidRPr="00002AE4">
        <w:rPr>
          <w:rFonts w:cs="Simplified Arabic" w:hint="cs"/>
          <w:sz w:val="32"/>
          <w:szCs w:val="32"/>
          <w:rtl/>
          <w:lang w:bidi="ar-DZ"/>
        </w:rPr>
        <w:t>حسبه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يقف عند </w:t>
      </w:r>
      <w:r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>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ما صاغوه من أثار فنية ليحللها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يقومها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ومعنى هذا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تاريخ </w:t>
      </w:r>
      <w:r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يختلف عن النقد من حيث موضوعه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طريقة معالجته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711863" w:rsidRPr="00620ED5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النقد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البلاغة: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إن موضوع النقد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البلاغة هو </w:t>
      </w:r>
      <w:r>
        <w:rPr>
          <w:rFonts w:cs="Simplified Arabic" w:hint="cs"/>
          <w:sz w:val="32"/>
          <w:szCs w:val="32"/>
          <w:rtl/>
          <w:lang w:bidi="ar-DZ"/>
        </w:rPr>
        <w:t>الأدب، و</w:t>
      </w:r>
      <w:r w:rsidRPr="00002AE4">
        <w:rPr>
          <w:rFonts w:cs="Simplified Arabic" w:hint="cs"/>
          <w:sz w:val="32"/>
          <w:szCs w:val="32"/>
          <w:rtl/>
          <w:lang w:bidi="ar-DZ"/>
        </w:rPr>
        <w:t>عليه فلا يختلفان في الموضوع</w:t>
      </w:r>
      <w:r>
        <w:rPr>
          <w:rFonts w:cs="Simplified Arabic" w:hint="cs"/>
          <w:sz w:val="32"/>
          <w:szCs w:val="32"/>
          <w:rtl/>
          <w:lang w:bidi="ar-DZ"/>
        </w:rPr>
        <w:t xml:space="preserve">، 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يختلفان من حيث المعالجة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طريقة العرض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فالبلاغة لا تعنى بالصلة بين </w:t>
      </w:r>
      <w:r>
        <w:rPr>
          <w:rFonts w:cs="Simplified Arabic" w:hint="cs"/>
          <w:sz w:val="32"/>
          <w:szCs w:val="32"/>
          <w:rtl/>
          <w:lang w:bidi="ar-DZ"/>
        </w:rPr>
        <w:t>الأثر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الأدبي و</w:t>
      </w:r>
      <w:r w:rsidRPr="00002AE4">
        <w:rPr>
          <w:rFonts w:cs="Simplified Arabic" w:hint="cs"/>
          <w:sz w:val="32"/>
          <w:szCs w:val="32"/>
          <w:rtl/>
          <w:lang w:bidi="ar-DZ"/>
        </w:rPr>
        <w:t>صاحبه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لا تعني كذلك بالقيم العقلية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العاطفية في النص،</w:t>
      </w:r>
      <w:r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تعنى بنظرية </w:t>
      </w:r>
      <w:r>
        <w:rPr>
          <w:rFonts w:cs="Simplified Arabic" w:hint="cs"/>
          <w:sz w:val="32"/>
          <w:szCs w:val="32"/>
          <w:rtl/>
          <w:lang w:bidi="ar-DZ"/>
        </w:rPr>
        <w:t>الأسلوب و</w:t>
      </w:r>
      <w:r w:rsidRPr="00002AE4">
        <w:rPr>
          <w:rFonts w:cs="Simplified Arabic" w:hint="cs"/>
          <w:sz w:val="32"/>
          <w:szCs w:val="32"/>
          <w:rtl/>
          <w:lang w:bidi="ar-DZ"/>
        </w:rPr>
        <w:t>خصائصه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ما يحتوي من مجازات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كنايات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لذلك فهي تصف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تعلم</w:t>
      </w:r>
      <w:r>
        <w:rPr>
          <w:rFonts w:cs="Simplified Arabic" w:hint="cs"/>
          <w:sz w:val="32"/>
          <w:szCs w:val="32"/>
          <w:rtl/>
          <w:lang w:bidi="ar-DZ"/>
        </w:rPr>
        <w:t xml:space="preserve">،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فيحلل الظاهر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الباطن في </w:t>
      </w:r>
      <w:r>
        <w:rPr>
          <w:rFonts w:cs="Simplified Arabic" w:hint="cs"/>
          <w:sz w:val="32"/>
          <w:szCs w:val="32"/>
          <w:rtl/>
          <w:lang w:bidi="ar-DZ"/>
        </w:rPr>
        <w:t>الأعمال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الأدبية.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وفي النقد العربي فإن التأليف في البلاغة امتزج في</w:t>
      </w:r>
      <w:r>
        <w:rPr>
          <w:rFonts w:cs="Simplified Arabic" w:hint="cs"/>
          <w:sz w:val="32"/>
          <w:szCs w:val="32"/>
          <w:rtl/>
          <w:lang w:bidi="ar-DZ"/>
        </w:rPr>
        <w:t xml:space="preserve"> أول الأمر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بالنقد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فلم تؤلف كتب منفردة في البلاغة</w:t>
      </w:r>
      <w:r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في نهاية القرن الرابع الهجري</w:t>
      </w:r>
      <w:r>
        <w:rPr>
          <w:rFonts w:cs="Simplified Arabic" w:hint="cs"/>
          <w:sz w:val="32"/>
          <w:szCs w:val="32"/>
          <w:rtl/>
          <w:lang w:bidi="ar-DZ"/>
        </w:rPr>
        <w:t xml:space="preserve">،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قبل ذلك فكان ثمة امتزاج واضح بين مدلول النقد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مدلول البلاغة، كما نرى في كتاب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البديع لابن المعتز (296هـ)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كتاب الموازنة للآمدي (371هـ)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كتاب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الصناعتين ل</w:t>
      </w:r>
      <w:r>
        <w:rPr>
          <w:rFonts w:cs="Simplified Arabic" w:hint="cs"/>
          <w:sz w:val="32"/>
          <w:szCs w:val="32"/>
          <w:rtl/>
          <w:lang w:bidi="ar-DZ"/>
        </w:rPr>
        <w:t>أبي هلال العسكري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(</w:t>
      </w:r>
      <w:r w:rsidRPr="00002AE4">
        <w:rPr>
          <w:rFonts w:cs="Simplified Arabic" w:hint="cs"/>
          <w:sz w:val="32"/>
          <w:szCs w:val="32"/>
          <w:rtl/>
          <w:lang w:bidi="ar-DZ"/>
        </w:rPr>
        <w:t>395هـ)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والوساطة للقاضي الجرجاني (392هـ)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دلائل </w:t>
      </w:r>
      <w:r>
        <w:rPr>
          <w:rFonts w:cs="Simplified Arabic" w:hint="cs"/>
          <w:sz w:val="32"/>
          <w:szCs w:val="32"/>
          <w:rtl/>
          <w:lang w:bidi="ar-DZ"/>
        </w:rPr>
        <w:t>الإعجاز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لعبد القاهر الجرجاني (471هـ)</w:t>
      </w:r>
      <w:r>
        <w:rPr>
          <w:rFonts w:cs="Simplified Arabic" w:hint="cs"/>
          <w:sz w:val="32"/>
          <w:szCs w:val="32"/>
          <w:rtl/>
          <w:lang w:bidi="ar-DZ"/>
        </w:rPr>
        <w:t>...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وغيرها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711863" w:rsidRPr="00905627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905627">
        <w:rPr>
          <w:rFonts w:cs="Simplified Arabic" w:hint="cs"/>
          <w:b/>
          <w:bCs/>
          <w:sz w:val="32"/>
          <w:szCs w:val="32"/>
          <w:rtl/>
          <w:lang w:bidi="ar-DZ"/>
        </w:rPr>
        <w:t>تطور النقد العربي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: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كان النقد العربي في مراحله</w:t>
      </w:r>
      <w:r>
        <w:rPr>
          <w:rFonts w:cs="Simplified Arabic" w:hint="cs"/>
          <w:sz w:val="32"/>
          <w:szCs w:val="32"/>
          <w:rtl/>
          <w:lang w:bidi="ar-DZ"/>
        </w:rPr>
        <w:t xml:space="preserve"> الأولى </w:t>
      </w:r>
      <w:r w:rsidRPr="00002AE4">
        <w:rPr>
          <w:rFonts w:cs="Simplified Arabic" w:hint="cs"/>
          <w:sz w:val="32"/>
          <w:szCs w:val="32"/>
          <w:rtl/>
          <w:lang w:bidi="ar-DZ"/>
        </w:rPr>
        <w:t>نقدا تأثريا يعتمد على الانطباع الذاتي البحت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دون اتكاء على عمليات ذهنية موجهة</w:t>
      </w:r>
      <w:r>
        <w:rPr>
          <w:rFonts w:cs="Simplified Arabic" w:hint="cs"/>
          <w:sz w:val="32"/>
          <w:szCs w:val="32"/>
          <w:rtl/>
          <w:lang w:bidi="ar-DZ"/>
        </w:rPr>
        <w:t xml:space="preserve">، أي </w:t>
      </w:r>
      <w:r w:rsidRPr="00002AE4">
        <w:rPr>
          <w:rFonts w:cs="Simplified Arabic" w:hint="cs"/>
          <w:sz w:val="32"/>
          <w:szCs w:val="32"/>
          <w:rtl/>
          <w:lang w:bidi="ar-DZ"/>
        </w:rPr>
        <w:t>دون</w:t>
      </w:r>
      <w:r>
        <w:rPr>
          <w:rFonts w:cs="Simplified Arabic" w:hint="cs"/>
          <w:sz w:val="32"/>
          <w:szCs w:val="32"/>
          <w:rtl/>
          <w:lang w:bidi="ar-DZ"/>
        </w:rPr>
        <w:t xml:space="preserve"> أسس </w:t>
      </w:r>
      <w:r w:rsidRPr="00002AE4">
        <w:rPr>
          <w:rFonts w:cs="Simplified Arabic" w:hint="cs"/>
          <w:sz w:val="32"/>
          <w:szCs w:val="32"/>
          <w:rtl/>
          <w:lang w:bidi="ar-DZ"/>
        </w:rPr>
        <w:t>نظرية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ثم جاء العصر </w:t>
      </w:r>
      <w:r>
        <w:rPr>
          <w:rFonts w:cs="Simplified Arabic" w:hint="cs"/>
          <w:sz w:val="32"/>
          <w:szCs w:val="32"/>
          <w:rtl/>
          <w:lang w:bidi="ar-DZ"/>
        </w:rPr>
        <w:t>الإسلامي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فنما النقد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نهض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واختصم الشعراء حول هذا الدين الجديد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ولما تقدم القرن </w:t>
      </w:r>
      <w:r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قويت نهضة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ونما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ازدهر في العصر </w:t>
      </w:r>
      <w:r>
        <w:rPr>
          <w:rFonts w:cs="Simplified Arabic" w:hint="cs"/>
          <w:sz w:val="32"/>
          <w:szCs w:val="32"/>
          <w:rtl/>
          <w:lang w:bidi="ar-DZ"/>
        </w:rPr>
        <w:t>الأموي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في ثلاث بيئات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(الحجاز،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العراق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الشام)</w:t>
      </w:r>
      <w:r>
        <w:rPr>
          <w:rFonts w:cs="Simplified Arabic" w:hint="cs"/>
          <w:sz w:val="32"/>
          <w:szCs w:val="32"/>
          <w:rtl/>
          <w:lang w:bidi="ar-DZ"/>
        </w:rPr>
        <w:t xml:space="preserve">،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عداها كفارس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مصر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المغرب فلم يزدهر فيها في هذا العصر أدب ولا نقد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وتبع النقد مجريات الحركة </w:t>
      </w:r>
      <w:r>
        <w:rPr>
          <w:rFonts w:cs="Simplified Arabic" w:hint="cs"/>
          <w:sz w:val="32"/>
          <w:szCs w:val="32"/>
          <w:rtl/>
          <w:lang w:bidi="ar-DZ"/>
        </w:rPr>
        <w:t>الأدبية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فاتجه </w:t>
      </w:r>
      <w:r>
        <w:rPr>
          <w:rFonts w:cs="Simplified Arabic" w:hint="cs"/>
          <w:sz w:val="32"/>
          <w:szCs w:val="32"/>
          <w:rtl/>
          <w:lang w:bidi="ar-DZ"/>
        </w:rPr>
        <w:t>أكثر</w:t>
      </w:r>
      <w:r w:rsidRPr="00002AE4">
        <w:rPr>
          <w:rFonts w:cs="Simplified Arabic" w:hint="cs"/>
          <w:sz w:val="32"/>
          <w:szCs w:val="32"/>
          <w:rtl/>
          <w:lang w:bidi="ar-DZ"/>
        </w:rPr>
        <w:t>ه</w:t>
      </w:r>
      <w:r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التفضيل بين الشعراء خاصة بين جرير</w:t>
      </w:r>
      <w:r>
        <w:rPr>
          <w:rFonts w:cs="Simplified Arabic" w:hint="cs"/>
          <w:sz w:val="32"/>
          <w:szCs w:val="32"/>
          <w:rtl/>
          <w:lang w:bidi="ar-DZ"/>
        </w:rPr>
        <w:t xml:space="preserve"> والأخطل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الفرزدق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ويتلخص</w:t>
      </w:r>
      <w:r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حتى العصر </w:t>
      </w:r>
      <w:r>
        <w:rPr>
          <w:rFonts w:cs="Simplified Arabic" w:hint="cs"/>
          <w:sz w:val="32"/>
          <w:szCs w:val="32"/>
          <w:rtl/>
          <w:lang w:bidi="ar-DZ"/>
        </w:rPr>
        <w:t>الأموي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لم تظهر فيه مدارس نقدية واضحة المعالم</w:t>
      </w:r>
      <w:r>
        <w:rPr>
          <w:rFonts w:cs="Simplified Arabic" w:hint="cs"/>
          <w:sz w:val="32"/>
          <w:szCs w:val="32"/>
          <w:rtl/>
          <w:lang w:bidi="ar-DZ"/>
        </w:rPr>
        <w:t xml:space="preserve">، وأن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ظل قريبا مما كان عليه في </w:t>
      </w:r>
      <w:r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 قائما على الذوق جزئيا غير معلل في كثير من الأحيان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FootnoteReference"/>
          <w:rFonts w:cs="Simplified Arabic"/>
          <w:sz w:val="32"/>
          <w:szCs w:val="32"/>
          <w:rtl/>
          <w:lang w:bidi="ar-DZ"/>
        </w:rPr>
        <w:footnoteReference w:id="1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لما جاء العصر العباسي ظهرت ثلاث طوائف تنظر في الأحكام النقدية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تناقشها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تضع المؤلفات النقدية،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فالطائفة</w:t>
      </w:r>
      <w:r>
        <w:rPr>
          <w:rFonts w:cs="Simplified Arabic" w:hint="cs"/>
          <w:sz w:val="32"/>
          <w:szCs w:val="32"/>
          <w:rtl/>
          <w:lang w:bidi="ar-DZ"/>
        </w:rPr>
        <w:t xml:space="preserve"> الأولى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هي طائفة </w:t>
      </w:r>
      <w:r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>اء من شعراء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كتاب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الثانية طائفة اللغويين التي اهتمت برواية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نقده كالأصمعي</w:t>
      </w:r>
      <w:r>
        <w:rPr>
          <w:rFonts w:cs="Simplified Arabic" w:hint="cs"/>
          <w:sz w:val="32"/>
          <w:szCs w:val="32"/>
          <w:rtl/>
          <w:lang w:bidi="ar-DZ"/>
        </w:rPr>
        <w:t xml:space="preserve">،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الطائفة الثالثة فطائفة المتكلمين التي أسهمت في تطوير أمور النقد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البلاغة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ولما جاء القرن الثالث ظهر لنا ابن سلام الجمحي بكتاب طبقات فحول الشعراء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الذي يشير</w:t>
      </w:r>
      <w:r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قضايا نقدية كالمفاضلة بين الشعراء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الانتحال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ثم الجاحظ بالبيان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التبيين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الحيوان،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ثم ابن قتيبة في كتاب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الشعراء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وفي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القرن الرابع</w:t>
      </w:r>
      <w:r>
        <w:rPr>
          <w:rFonts w:cs="Simplified Arabic" w:hint="cs"/>
          <w:sz w:val="32"/>
          <w:szCs w:val="32"/>
          <w:rtl/>
          <w:lang w:bidi="ar-DZ"/>
        </w:rPr>
        <w:t xml:space="preserve"> ألف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طباطبا عيار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قدامة بن جعفر نقد الشعر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فيه </w:t>
      </w:r>
      <w:r>
        <w:rPr>
          <w:rFonts w:cs="Simplified Arabic" w:hint="cs"/>
          <w:sz w:val="32"/>
          <w:szCs w:val="32"/>
          <w:rtl/>
          <w:lang w:bidi="ar-DZ"/>
        </w:rPr>
        <w:t>الأثر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اليوناني</w:t>
      </w:r>
      <w:r>
        <w:rPr>
          <w:rFonts w:cs="Simplified Arabic" w:hint="cs"/>
          <w:sz w:val="32"/>
          <w:szCs w:val="32"/>
          <w:rtl/>
          <w:lang w:bidi="ar-DZ"/>
        </w:rPr>
        <w:t xml:space="preserve">، فأصبح </w:t>
      </w:r>
      <w:r w:rsidRPr="00002AE4">
        <w:rPr>
          <w:rFonts w:cs="Simplified Arabic" w:hint="cs"/>
          <w:sz w:val="32"/>
          <w:szCs w:val="32"/>
          <w:rtl/>
          <w:lang w:bidi="ar-DZ"/>
        </w:rPr>
        <w:t>للنقد</w:t>
      </w:r>
      <w:r>
        <w:rPr>
          <w:rFonts w:cs="Simplified Arabic" w:hint="cs"/>
          <w:sz w:val="32"/>
          <w:szCs w:val="32"/>
          <w:rtl/>
          <w:lang w:bidi="ar-DZ"/>
        </w:rPr>
        <w:t xml:space="preserve"> أسس و</w:t>
      </w:r>
      <w:r w:rsidRPr="00002AE4">
        <w:rPr>
          <w:rFonts w:cs="Simplified Arabic" w:hint="cs"/>
          <w:sz w:val="32"/>
          <w:szCs w:val="32"/>
          <w:rtl/>
          <w:lang w:bidi="ar-DZ"/>
        </w:rPr>
        <w:t>مناهج متبعة</w:t>
      </w:r>
      <w:r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هذا ما أثمر كتابين جديدين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هما الموازنة للآمدي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الوساطة للقاضي الجرجاني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ثم ظهر النقد البلاغي على يد عبد القاهر الجرجاني في كتابه دلائل </w:t>
      </w:r>
      <w:r>
        <w:rPr>
          <w:rFonts w:cs="Simplified Arabic" w:hint="cs"/>
          <w:sz w:val="32"/>
          <w:szCs w:val="32"/>
          <w:rtl/>
          <w:lang w:bidi="ar-DZ"/>
        </w:rPr>
        <w:t>الإعجاز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أسرار البلاغة في القرن الخامس الهجري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711863" w:rsidRPr="00002AE4" w:rsidRDefault="00711863" w:rsidP="0071186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هذا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ظهر النقد في المغرب</w:t>
      </w:r>
      <w:r>
        <w:rPr>
          <w:rFonts w:cs="Simplified Arabic" w:hint="cs"/>
          <w:sz w:val="32"/>
          <w:szCs w:val="32"/>
          <w:rtl/>
          <w:lang w:bidi="ar-DZ"/>
        </w:rPr>
        <w:t xml:space="preserve"> والأندلس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متأثرا بالنقد في المشرق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ظهرت مؤلفات منها العمدة لابن رشيق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العقد الفريد لابن عبد ربه</w:t>
      </w:r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وهكذا تواصلت المؤلفات حتى ابن خلدون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مقدمته (808 هـ)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711863" w:rsidRDefault="00711863" w:rsidP="00711863">
      <w:pPr>
        <w:bidi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br w:type="page"/>
      </w:r>
    </w:p>
    <w:p w:rsidR="00711863" w:rsidRPr="00F26317" w:rsidRDefault="00711863" w:rsidP="00711863">
      <w:pPr>
        <w:bidi/>
        <w:spacing w:after="0" w:line="240" w:lineRule="auto"/>
        <w:ind w:left="360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711863" w:rsidRDefault="00711863" w:rsidP="00711863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أخذ النقد العربي في القرن الثالث الهجري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ينزع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البحث والتأليف على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أيدي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ثلة من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لنقاد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وعلماء 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الأدب،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الذين خاضوا في الموازنات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والموازين النقدية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كابن سلام والجاحظ وابن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قتيبة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وغيرهم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ثم بدأت التصانيف تتوالى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حتى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القرن الثامن في المشرق والمغرب و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الأندلس. </w:t>
      </w:r>
    </w:p>
    <w:p w:rsidR="009E0AEB" w:rsidRDefault="009E0AEB">
      <w:pPr>
        <w:rPr>
          <w:lang w:bidi="ar-DZ"/>
        </w:rPr>
      </w:pPr>
    </w:p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72" w:rsidRDefault="006B2E72" w:rsidP="00711863">
      <w:pPr>
        <w:spacing w:after="0" w:line="240" w:lineRule="auto"/>
      </w:pPr>
      <w:r>
        <w:separator/>
      </w:r>
    </w:p>
  </w:endnote>
  <w:endnote w:type="continuationSeparator" w:id="0">
    <w:p w:rsidR="006B2E72" w:rsidRDefault="006B2E72" w:rsidP="0071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72" w:rsidRDefault="006B2E72" w:rsidP="00711863">
      <w:pPr>
        <w:spacing w:after="0" w:line="240" w:lineRule="auto"/>
      </w:pPr>
      <w:r>
        <w:separator/>
      </w:r>
    </w:p>
  </w:footnote>
  <w:footnote w:type="continuationSeparator" w:id="0">
    <w:p w:rsidR="006B2E72" w:rsidRDefault="006B2E72" w:rsidP="00711863">
      <w:pPr>
        <w:spacing w:after="0" w:line="240" w:lineRule="auto"/>
      </w:pPr>
      <w:r>
        <w:continuationSeparator/>
      </w:r>
    </w:p>
  </w:footnote>
  <w:footnote w:id="1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إحسان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عباس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تاريخ النقد الأدبي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46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إبراهيم صدقة</w:t>
      </w:r>
      <w:r>
        <w:rPr>
          <w:rFonts w:asciiTheme="majorBidi" w:hAnsiTheme="majorBidi" w:cs="Simplified Arabic" w:hint="cs"/>
          <w:sz w:val="24"/>
          <w:szCs w:val="24"/>
          <w:rtl/>
        </w:rPr>
        <w:t>: التأ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ثرية و النقد الت</w:t>
      </w:r>
      <w:r>
        <w:rPr>
          <w:rFonts w:asciiTheme="majorBidi" w:hAnsiTheme="majorBidi" w:cs="Simplified Arabic" w:hint="cs"/>
          <w:sz w:val="24"/>
          <w:szCs w:val="24"/>
          <w:rtl/>
        </w:rPr>
        <w:t>أ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ثري عند محمد مندور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رسالة ماجستير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إشراف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عدنان يوسف سكيك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المعهد الوطني للتعليم العالي في اللغة العربية وآدابها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باتنة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1986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22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المرزباني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الموشح في مآ</w:t>
      </w:r>
      <w:r>
        <w:rPr>
          <w:rFonts w:asciiTheme="majorBidi" w:hAnsiTheme="majorBidi" w:cs="Simplified Arabic" w:hint="cs"/>
          <w:sz w:val="24"/>
          <w:szCs w:val="24"/>
          <w:rtl/>
        </w:rPr>
        <w:t>خ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ذ العلماء على الشعراء تح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محمد حسين شمس الدين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الكتب العلمية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1995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94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95.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</w:p>
  </w:footnote>
  <w:footnote w:id="4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المصدر نفسه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93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5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حبر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مفردها حبرة وهي ملاءة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من الحرير كانت ترتديها النساء في مصر عند خروجهن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6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خرزها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الخرز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الخياطة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والمزادة وعاء يحمل فيه الماء في السفر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7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المرزباني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الموشح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ص 93. </w:t>
      </w:r>
    </w:p>
  </w:footnote>
  <w:footnote w:id="8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ابن رشيق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العمدة في محاسن الشعر وآدابه ونقده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الجيل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ج1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 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1981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9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عمر عروة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دروس في النقد الأدبي القديم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ديوان المطبوعات الجامعية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2010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61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0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ابن سلام الجمحي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طبقات الشعراء</w:t>
      </w:r>
      <w:r>
        <w:rPr>
          <w:rFonts w:asciiTheme="majorBidi" w:hAnsiTheme="majorBidi" w:cs="Simplified Arabic" w:hint="cs"/>
          <w:sz w:val="24"/>
          <w:szCs w:val="24"/>
          <w:rtl/>
        </w:rPr>
        <w:t>، دار الكتب العلمية،بيروت،2001،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155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1">
    <w:p w:rsidR="00711863" w:rsidRPr="00002AE4" w:rsidRDefault="00711863" w:rsidP="00711863">
      <w:pPr>
        <w:pStyle w:val="FootnoteText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FootnoteReference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شوقي ضيف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النقد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39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2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منظور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لسان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صادر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بيروت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مج 3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 3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1994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425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426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3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شوقي ضيف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المعارف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مصر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 4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1979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09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4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شوقي ضيف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09.</w:t>
      </w:r>
    </w:p>
  </w:footnote>
  <w:footnote w:id="15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 xml:space="preserve">المرجع نفسه 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10.</w:t>
      </w:r>
    </w:p>
  </w:footnote>
  <w:footnote w:id="16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المرجع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10، 11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7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محمد إبراهيم نصر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النقد الأدبي في العصر الجاهلي وصدر الإسلام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الفكر العربي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مصر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1398 هـ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40. </w:t>
      </w:r>
    </w:p>
  </w:footnote>
  <w:footnote w:id="18">
    <w:p w:rsidR="00711863" w:rsidRPr="00002AE4" w:rsidRDefault="00711863" w:rsidP="00711863">
      <w:pPr>
        <w:pStyle w:val="FootnoteText"/>
        <w:bidi/>
        <w:rPr>
          <w:rFonts w:cs="Simplified Arabic"/>
          <w:sz w:val="24"/>
          <w:szCs w:val="24"/>
        </w:rPr>
      </w:pPr>
      <w:r w:rsidRPr="00002AE4">
        <w:rPr>
          <w:rStyle w:val="FootnoteReference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محمد رضوان الداية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تاريخ النقد الأدبي في الأندلس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مؤسسة الرسالة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 ط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د ت 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236، 237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4CB8"/>
    <w:multiLevelType w:val="hybridMultilevel"/>
    <w:tmpl w:val="4D88B76E"/>
    <w:lvl w:ilvl="0" w:tplc="3E94252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1863"/>
    <w:rsid w:val="00060F5A"/>
    <w:rsid w:val="00252EB7"/>
    <w:rsid w:val="00342CA9"/>
    <w:rsid w:val="00542B4A"/>
    <w:rsid w:val="006473C4"/>
    <w:rsid w:val="006B2E72"/>
    <w:rsid w:val="00711863"/>
    <w:rsid w:val="00941AFD"/>
    <w:rsid w:val="009E0AEB"/>
    <w:rsid w:val="00C2245F"/>
    <w:rsid w:val="00C94AB3"/>
    <w:rsid w:val="00C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18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18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863"/>
    <w:rPr>
      <w:rFonts w:asciiTheme="minorHAnsi" w:eastAsiaTheme="minorEastAsia" w:hAnsiTheme="minorHAnsi" w:cstheme="minorBidi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118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1369</Words>
  <Characters>7809</Characters>
  <Application>Microsoft Office Word</Application>
  <DocSecurity>0</DocSecurity>
  <Lines>65</Lines>
  <Paragraphs>18</Paragraphs>
  <ScaleCrop>false</ScaleCrop>
  <Company>Grizli777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2</cp:revision>
  <dcterms:created xsi:type="dcterms:W3CDTF">2018-01-07T17:36:00Z</dcterms:created>
  <dcterms:modified xsi:type="dcterms:W3CDTF">2018-01-07T17:36:00Z</dcterms:modified>
</cp:coreProperties>
</file>