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AC3" w:rsidRDefault="00D30AC3" w:rsidP="00D30AC3">
      <w:pPr>
        <w:pStyle w:val="a3"/>
        <w:jc w:val="both"/>
        <w:rPr>
          <w:rFonts w:ascii="Simplified Arabic" w:hAnsi="Simplified Arabic" w:cs="Simplified Arabic" w:hint="cs"/>
          <w:sz w:val="28"/>
          <w:szCs w:val="28"/>
          <w:u w:val="single"/>
          <w:rtl/>
        </w:rPr>
      </w:pPr>
      <w:r>
        <w:rPr>
          <w:rFonts w:ascii="Simplified Arabic" w:hAnsi="Simplified Arabic" w:cs="Simplified Arabic" w:hint="cs"/>
          <w:sz w:val="28"/>
          <w:szCs w:val="28"/>
          <w:u w:val="single"/>
          <w:rtl/>
        </w:rPr>
        <w:t xml:space="preserve"> الرعاية اللاحقة (2)</w:t>
      </w:r>
    </w:p>
    <w:p w:rsidR="00D30AC3" w:rsidRDefault="00D30AC3" w:rsidP="00D30AC3">
      <w:pPr>
        <w:pStyle w:val="a3"/>
        <w:jc w:val="both"/>
        <w:rPr>
          <w:rFonts w:ascii="Simplified Arabic" w:hAnsi="Simplified Arabic" w:cs="Simplified Arabic"/>
          <w:sz w:val="28"/>
          <w:szCs w:val="28"/>
        </w:rPr>
      </w:pPr>
      <w:r>
        <w:rPr>
          <w:rFonts w:ascii="Simplified Arabic" w:hAnsi="Simplified Arabic" w:cs="Simplified Arabic"/>
          <w:sz w:val="28"/>
          <w:szCs w:val="28"/>
          <w:u w:val="single"/>
          <w:rtl/>
        </w:rPr>
        <w:t>الإعـــــداد للـــــرعـــــايـــــــة اللاحـــــقـــــة:</w:t>
      </w:r>
    </w:p>
    <w:p w:rsidR="00D30AC3" w:rsidRDefault="00D30AC3" w:rsidP="00D30AC3">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أشــــارت الفقرة الأولى من القاعدة (81) إلى أنــه: يـــجب على المــصـــالـــح والهيــــئـــات الحكومية وغير الحكومية التي تعني بـــمــســــاعــدة المسجونين المفرج عنهـــم لإعـــادة انـــدمـــاجــهـــم واستقرارهم في المــجــتــمــع, أن تـــكفـــل علــى قـدر المستطاع تــزويــدهــم بالمســـتـــنــدات وأوراق إثــبــات الشخــــصيــــة الضرورية لـهــم, ومــدَّهــم بالمسكن والعمل والملابس اللاحقــة والمناســــبة لــحـــالــة الطقـــس والموســــم, وكذلـــك الوسائـــل اللازمــــة لــوصـــولــهم إلى حيث يرغبــون في الإقامة وتهــــيئــة ما يــقوم بـــودهـــم خلال الفترة التاليـــة المباشرة للإفراج عــنــهم.</w:t>
      </w:r>
    </w:p>
    <w:p w:rsidR="00D30AC3" w:rsidRDefault="00D30AC3" w:rsidP="00D30AC3">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ولا شـــك أن المــهـــمــة الأساسيـــة للمـــؤسسة العقابية هـــي الســـعي لــتـــأهيـــل نزيــلها, ولا يــتــحقـــق ذلــك إلا عــن طريق تـــــغــــير أُســـلـــوب المعاملـــة العقابية المــــســـتــمرة أثـــنـــاء تــواجــد النزيـــل بــداخلــها وتَـــبـــنــي مــعــاملــة خــاصــة لــمن اقـــترب مــوعــد الإفــراج عـــنــه.</w:t>
      </w:r>
    </w:p>
    <w:p w:rsidR="00D30AC3" w:rsidRDefault="00D30AC3" w:rsidP="00D30AC3">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ولا بـــــد من الإشـــــارة إلــى أن المـــفــرج عــنــهم جمــيــعاً يــحــتــاجــون إلـــى رعــايــة لاحــقة بعــد الإفــراج بــغــض النظر عــن جــنــســهم أو ســنــهم ودون اعتــبار المــدة التي قـــضــاها النزيل داخل المؤسسة العقابية.</w:t>
      </w:r>
    </w:p>
    <w:p w:rsidR="00D30AC3" w:rsidRDefault="00D30AC3" w:rsidP="00D30AC3">
      <w:pPr>
        <w:pStyle w:val="a3"/>
        <w:jc w:val="both"/>
        <w:rPr>
          <w:rFonts w:ascii="Simplified Arabic" w:hAnsi="Simplified Arabic" w:cs="Simplified Arabic"/>
          <w:sz w:val="28"/>
          <w:szCs w:val="28"/>
          <w:rtl/>
        </w:rPr>
      </w:pPr>
      <w:r>
        <w:rPr>
          <w:rFonts w:ascii="Simplified Arabic" w:hAnsi="Simplified Arabic" w:cs="Simplified Arabic"/>
          <w:sz w:val="28"/>
          <w:szCs w:val="28"/>
          <w:rtl/>
        </w:rPr>
        <w:t>تـــــشــــمــل مــرحلــة المعاملة السابقة على الإفراج إتباع بعض الخطوات المفيدة ومنــهـــــا:</w:t>
      </w:r>
    </w:p>
    <w:p w:rsidR="00D30AC3" w:rsidRDefault="00D30AC3" w:rsidP="00D30AC3">
      <w:pPr>
        <w:pStyle w:val="a3"/>
        <w:jc w:val="both"/>
        <w:rPr>
          <w:rFonts w:ascii="Simplified Arabic" w:hAnsi="Simplified Arabic" w:cs="Simplified Arabic"/>
          <w:sz w:val="28"/>
          <w:szCs w:val="28"/>
          <w:rtl/>
        </w:rPr>
      </w:pPr>
      <w:r>
        <w:rPr>
          <w:rFonts w:ascii="Simplified Arabic" w:hAnsi="Simplified Arabic" w:cs="Simplified Arabic"/>
          <w:sz w:val="28"/>
          <w:szCs w:val="28"/>
          <w:rtl/>
        </w:rPr>
        <w:t>1 ـ تـــنــظيــم المحاضــــرات والمنـــاقـــشـــــات العـــامــة التــي لــها علاقــة بالشخصـــية وعرض مشاكل الحياة وأساليب حلهــا.</w:t>
      </w:r>
    </w:p>
    <w:p w:rsidR="00D30AC3" w:rsidRDefault="00D30AC3" w:rsidP="00D30AC3">
      <w:pPr>
        <w:pStyle w:val="a3"/>
        <w:jc w:val="both"/>
        <w:rPr>
          <w:rFonts w:ascii="Simplified Arabic" w:hAnsi="Simplified Arabic" w:cs="Simplified Arabic"/>
          <w:sz w:val="28"/>
          <w:szCs w:val="28"/>
          <w:rtl/>
        </w:rPr>
      </w:pPr>
      <w:r>
        <w:rPr>
          <w:rFonts w:ascii="Simplified Arabic" w:hAnsi="Simplified Arabic" w:cs="Simplified Arabic"/>
          <w:sz w:val="28"/>
          <w:szCs w:val="28"/>
          <w:rtl/>
        </w:rPr>
        <w:t>2 ـ إعـطاء النـزيل قدر أكبر من الحريـة وذلـك بــنقـله من مؤسسة مغلقة إلى شبه مفتوحة ثم إلى مفتوحة قبل الإفراج عنه</w:t>
      </w:r>
    </w:p>
    <w:p w:rsidR="00D30AC3" w:rsidRDefault="00D30AC3" w:rsidP="00D30AC3">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3 ـ الــتـــوســـــع فــي الزيـــارات والإكــثار من المــراســلات وإعــطاء الإجـــازات عــلى فــــترات مــتــعــاقـــــبـــة. </w:t>
      </w:r>
    </w:p>
    <w:p w:rsidR="00D30AC3" w:rsidRDefault="00D30AC3" w:rsidP="00D30AC3">
      <w:pPr>
        <w:pStyle w:val="a3"/>
        <w:jc w:val="both"/>
        <w:rPr>
          <w:rFonts w:ascii="Simplified Arabic" w:hAnsi="Simplified Arabic" w:cs="Simplified Arabic"/>
          <w:sz w:val="28"/>
          <w:szCs w:val="28"/>
          <w:rtl/>
        </w:rPr>
      </w:pPr>
      <w:r>
        <w:rPr>
          <w:rFonts w:ascii="Simplified Arabic" w:hAnsi="Simplified Arabic" w:cs="Simplified Arabic"/>
          <w:sz w:val="28"/>
          <w:szCs w:val="28"/>
          <w:rtl/>
        </w:rPr>
        <w:t>4 ـ الـــســـمـــــاح للــــنــزيــل بالعــمل خـــــارج المــــؤسسة نــهــاراً والعـــودة إليـــهـــا ليــــلاً.</w:t>
      </w:r>
    </w:p>
    <w:p w:rsidR="00D30AC3" w:rsidRDefault="00D30AC3" w:rsidP="00D30AC3">
      <w:pPr>
        <w:pStyle w:val="a3"/>
        <w:jc w:val="both"/>
        <w:rPr>
          <w:rFonts w:ascii="Simplified Arabic" w:hAnsi="Simplified Arabic" w:cs="Simplified Arabic"/>
          <w:sz w:val="28"/>
          <w:szCs w:val="28"/>
          <w:rtl/>
        </w:rPr>
      </w:pPr>
      <w:r>
        <w:rPr>
          <w:rFonts w:ascii="Simplified Arabic" w:hAnsi="Simplified Arabic" w:cs="Simplified Arabic"/>
          <w:sz w:val="28"/>
          <w:szCs w:val="28"/>
          <w:rtl/>
        </w:rPr>
        <w:t>5 ـ إقـــــامــــة الـصـلــة بــين النزلاء ومن يتولى رعايتهم من أعضاء الهيئات الرسمية أو المتطوعين من المتخصصين الاجتماعيين والنفسيين.</w:t>
      </w:r>
    </w:p>
    <w:p w:rsidR="00D30AC3" w:rsidRDefault="00D30AC3" w:rsidP="00D30AC3">
      <w:pPr>
        <w:pStyle w:val="a3"/>
        <w:jc w:val="both"/>
        <w:rPr>
          <w:rFonts w:ascii="Simplified Arabic" w:hAnsi="Simplified Arabic" w:cs="Simplified Arabic"/>
          <w:sz w:val="28"/>
          <w:szCs w:val="28"/>
          <w:u w:val="single"/>
          <w:rtl/>
        </w:rPr>
      </w:pPr>
      <w:r>
        <w:rPr>
          <w:rFonts w:ascii="Simplified Arabic" w:hAnsi="Simplified Arabic" w:cs="Simplified Arabic"/>
          <w:sz w:val="28"/>
          <w:szCs w:val="28"/>
          <w:u w:val="single"/>
          <w:rtl/>
        </w:rPr>
        <w:t>موقف المشرع العراقي من الرعاية اللاحقة:</w:t>
      </w:r>
    </w:p>
    <w:p w:rsidR="00D30AC3" w:rsidRDefault="00D30AC3" w:rsidP="00D30AC3">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لـــم يشــر قــانـــون السجون العراقي إلـــى الأحــكام الخاصــة بالرعايــة اللاحقــة,  ولا بــد من الإشارة إلــى أن قــانون رعـــايــة الأحــداث رقم (76) لسنة 1983, قـــد عالــج الرعايــة اللاحقــة في الباب السابــع؛ حيــث عَــرَفـــَتْ المــادة (99) منــه الـرعـــايـــة اللاحــقـــة بأنهــا: رعــايـــة الحــدث بــعــد انــتهــاء مـدة إيـداعه مدرسة التــأهـيل بمـا يــضــمن انــدمـاجــه في المـجــتــمــع وعــدم عــودتــه إلى الجــنــوح.</w:t>
      </w:r>
    </w:p>
    <w:p w:rsidR="00D30AC3" w:rsidRDefault="00D30AC3" w:rsidP="00D30AC3">
      <w:pPr>
        <w:pStyle w:val="a3"/>
        <w:jc w:val="both"/>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  وبـــيــنــت الفــقــرة الأولى من المادة (100) أنــه: أنــــه يــتــولـى قـــســم الرعايــة اللاحقة المرتبـطــة بـدائرة إصلاح الأحداث الإشــــراف على رعاية الحدث بعد انتهاء مدة إيداعه في المؤسسة العامة للإصلاح الاجتماعي قبل الإفراج عنهم بمدة شهرين على الأقل حتى يمكنهم توفير العمل المناسب.</w:t>
      </w:r>
    </w:p>
    <w:p w:rsidR="00D30AC3" w:rsidRDefault="00D30AC3" w:rsidP="00D30AC3">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وأوجبت المادة (101) على إدارة مـــدرسة التأهيل قبل انتهاء مدة الإيداع بفترة لا تقل عن ثلاثة أشهر تــزويد قسم الرعاية اللاحقة باسم الحدث الذي سوف تنهي مدة إيداعه مع تقرير مفصل عنــه.</w:t>
      </w:r>
    </w:p>
    <w:p w:rsidR="00D30AC3" w:rsidRDefault="00D30AC3" w:rsidP="00D30AC3">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أمَّا بصدد تقديم منحة مالية للحدث, فقد أشارت المادة (103) من قانون رعايــة الأحداث إلى أنه: لقسم الرعاية اللاحقة تقديم منحة مالية للحدث لمساعدته في: (1) إيـــفــاء حاجاته العاجلــة (2) تــبديل البيئة التي كان يعيش فيها عند جنوحه إذا كانت سبباً في ذلك. </w:t>
      </w:r>
    </w:p>
    <w:p w:rsidR="00D30AC3" w:rsidRDefault="00D30AC3" w:rsidP="00D30AC3">
      <w:pPr>
        <w:pStyle w:val="a3"/>
        <w:jc w:val="both"/>
        <w:rPr>
          <w:rFonts w:ascii="Simplified Arabic" w:hAnsi="Simplified Arabic" w:cs="Simplified Arabic"/>
          <w:sz w:val="28"/>
          <w:szCs w:val="28"/>
          <w:rtl/>
        </w:rPr>
      </w:pPr>
      <w:r>
        <w:rPr>
          <w:rFonts w:ascii="Simplified Arabic" w:hAnsi="Simplified Arabic" w:cs="Simplified Arabic"/>
          <w:sz w:val="28"/>
          <w:szCs w:val="28"/>
          <w:rtl/>
        </w:rPr>
        <w:t xml:space="preserve">  وأخيراً لا بد من الإشادة بالقرارات الصادرة من مجلس قيادة الثورة الموقر الخاصة بإلغاء قانون رد الاعتبار وإعادة الموظفين المدانين إلى وظائفهم السابقة بعد الإفراج عنهم. ونرى أن تُــنظم الأحكام الخاصة بالرعاية اللاحقة في قانون المؤسسة العامة للإصلاح الاجتماعي ؛ لأن قواعد الرعاية اللاحقة لا تقتصر على الأحداث بل تشمل جميع النزلاء في مختلف المؤسسات الإصلاحية.</w:t>
      </w:r>
    </w:p>
    <w:p w:rsidR="00D30AC3" w:rsidRDefault="00D30AC3" w:rsidP="00D30AC3">
      <w:pPr>
        <w:pStyle w:val="a3"/>
        <w:jc w:val="center"/>
        <w:rPr>
          <w:rFonts w:ascii="Simplified Arabic" w:hAnsi="Simplified Arabic" w:cs="Simplified Arabic"/>
          <w:b/>
          <w:bCs/>
          <w:sz w:val="28"/>
          <w:szCs w:val="28"/>
          <w:rtl/>
        </w:rPr>
      </w:pPr>
      <w:r>
        <w:rPr>
          <w:rFonts w:ascii="Simplified Arabic" w:hAnsi="Simplified Arabic" w:cs="Simplified Arabic"/>
          <w:b/>
          <w:bCs/>
          <w:sz w:val="28"/>
          <w:szCs w:val="28"/>
          <w:rtl/>
        </w:rPr>
        <w:t>التفرقة بين الرعاية اللاحقة والاختبار القضائي والإفراج الشرطي.</w:t>
      </w:r>
    </w:p>
    <w:tbl>
      <w:tblPr>
        <w:tblStyle w:val="a4"/>
        <w:bidiVisual/>
        <w:tblW w:w="0" w:type="auto"/>
        <w:tblInd w:w="0" w:type="dxa"/>
        <w:tblLook w:val="04A0"/>
      </w:tblPr>
      <w:tblGrid>
        <w:gridCol w:w="2177"/>
        <w:gridCol w:w="2976"/>
        <w:gridCol w:w="3119"/>
      </w:tblGrid>
      <w:tr w:rsidR="00D30AC3" w:rsidTr="00D30AC3">
        <w:tc>
          <w:tcPr>
            <w:tcW w:w="2177" w:type="dxa"/>
            <w:tcBorders>
              <w:top w:val="single" w:sz="4" w:space="0" w:color="auto"/>
              <w:left w:val="single" w:sz="4" w:space="0" w:color="auto"/>
              <w:bottom w:val="single" w:sz="4" w:space="0" w:color="auto"/>
              <w:right w:val="single" w:sz="4" w:space="0" w:color="auto"/>
            </w:tcBorders>
            <w:hideMark/>
          </w:tcPr>
          <w:p w:rsidR="00D30AC3" w:rsidRDefault="00D30AC3">
            <w:pPr>
              <w:pStyle w:val="a3"/>
              <w:jc w:val="center"/>
              <w:rPr>
                <w:rFonts w:ascii="Simplified Arabic" w:hAnsi="Simplified Arabic" w:cs="Simplified Arabic"/>
                <w:sz w:val="28"/>
                <w:szCs w:val="28"/>
              </w:rPr>
            </w:pPr>
            <w:r>
              <w:rPr>
                <w:rFonts w:ascii="Simplified Arabic" w:hAnsi="Simplified Arabic" w:cs="Simplified Arabic"/>
                <w:sz w:val="28"/>
                <w:szCs w:val="28"/>
                <w:rtl/>
              </w:rPr>
              <w:t>الرعاية اللاحقة</w:t>
            </w:r>
          </w:p>
        </w:tc>
        <w:tc>
          <w:tcPr>
            <w:tcW w:w="2976" w:type="dxa"/>
            <w:tcBorders>
              <w:top w:val="single" w:sz="4" w:space="0" w:color="auto"/>
              <w:left w:val="single" w:sz="4" w:space="0" w:color="auto"/>
              <w:bottom w:val="single" w:sz="4" w:space="0" w:color="auto"/>
              <w:right w:val="single" w:sz="4" w:space="0" w:color="auto"/>
            </w:tcBorders>
            <w:hideMark/>
          </w:tcPr>
          <w:p w:rsidR="00D30AC3" w:rsidRDefault="00D30AC3">
            <w:pPr>
              <w:pStyle w:val="a3"/>
              <w:jc w:val="center"/>
              <w:rPr>
                <w:rFonts w:ascii="Simplified Arabic" w:hAnsi="Simplified Arabic" w:cs="Simplified Arabic"/>
                <w:sz w:val="28"/>
                <w:szCs w:val="28"/>
              </w:rPr>
            </w:pPr>
            <w:r>
              <w:rPr>
                <w:rFonts w:ascii="Simplified Arabic" w:hAnsi="Simplified Arabic" w:cs="Simplified Arabic"/>
                <w:sz w:val="28"/>
                <w:szCs w:val="28"/>
                <w:rtl/>
              </w:rPr>
              <w:t>الاختبار القضائي</w:t>
            </w:r>
          </w:p>
        </w:tc>
        <w:tc>
          <w:tcPr>
            <w:tcW w:w="3119" w:type="dxa"/>
            <w:tcBorders>
              <w:top w:val="single" w:sz="4" w:space="0" w:color="auto"/>
              <w:left w:val="single" w:sz="4" w:space="0" w:color="auto"/>
              <w:bottom w:val="single" w:sz="4" w:space="0" w:color="auto"/>
              <w:right w:val="single" w:sz="4" w:space="0" w:color="auto"/>
            </w:tcBorders>
            <w:hideMark/>
          </w:tcPr>
          <w:p w:rsidR="00D30AC3" w:rsidRDefault="00D30AC3">
            <w:pPr>
              <w:pStyle w:val="a3"/>
              <w:jc w:val="center"/>
              <w:rPr>
                <w:rFonts w:ascii="Simplified Arabic" w:hAnsi="Simplified Arabic" w:cs="Simplified Arabic"/>
                <w:sz w:val="28"/>
                <w:szCs w:val="28"/>
              </w:rPr>
            </w:pPr>
            <w:r>
              <w:rPr>
                <w:rFonts w:ascii="Simplified Arabic" w:hAnsi="Simplified Arabic" w:cs="Simplified Arabic"/>
                <w:sz w:val="28"/>
                <w:szCs w:val="28"/>
                <w:rtl/>
              </w:rPr>
              <w:t>الإفراج الشرطي</w:t>
            </w:r>
          </w:p>
        </w:tc>
      </w:tr>
      <w:tr w:rsidR="00D30AC3" w:rsidTr="00D30AC3">
        <w:tc>
          <w:tcPr>
            <w:tcW w:w="2177" w:type="dxa"/>
            <w:tcBorders>
              <w:top w:val="single" w:sz="4" w:space="0" w:color="auto"/>
              <w:left w:val="single" w:sz="4" w:space="0" w:color="auto"/>
              <w:bottom w:val="single" w:sz="4" w:space="0" w:color="auto"/>
              <w:right w:val="single" w:sz="4" w:space="0" w:color="auto"/>
            </w:tcBorders>
            <w:hideMark/>
          </w:tcPr>
          <w:p w:rsidR="00D30AC3" w:rsidRDefault="00D30AC3">
            <w:pPr>
              <w:pStyle w:val="a3"/>
              <w:jc w:val="center"/>
              <w:rPr>
                <w:rFonts w:ascii="Simplified Arabic" w:hAnsi="Simplified Arabic" w:cs="Simplified Arabic"/>
                <w:sz w:val="28"/>
                <w:szCs w:val="28"/>
              </w:rPr>
            </w:pPr>
            <w:r>
              <w:rPr>
                <w:rFonts w:ascii="Simplified Arabic" w:hAnsi="Simplified Arabic" w:cs="Simplified Arabic"/>
                <w:sz w:val="28"/>
                <w:szCs w:val="28"/>
                <w:rtl/>
              </w:rPr>
              <w:t>أسلوب للمعاملة العقابية يتبع بعد الإفراج التام على المحكوم عليه لمتابعة تقويمه ومعاونته على التكيف مع مجتمعه الأول.</w:t>
            </w:r>
          </w:p>
        </w:tc>
        <w:tc>
          <w:tcPr>
            <w:tcW w:w="2976" w:type="dxa"/>
            <w:tcBorders>
              <w:top w:val="single" w:sz="4" w:space="0" w:color="auto"/>
              <w:left w:val="single" w:sz="4" w:space="0" w:color="auto"/>
              <w:bottom w:val="single" w:sz="4" w:space="0" w:color="auto"/>
              <w:right w:val="single" w:sz="4" w:space="0" w:color="auto"/>
            </w:tcBorders>
            <w:hideMark/>
          </w:tcPr>
          <w:p w:rsidR="00D30AC3" w:rsidRDefault="00D30AC3">
            <w:pPr>
              <w:pStyle w:val="a3"/>
              <w:jc w:val="center"/>
              <w:rPr>
                <w:rFonts w:ascii="Simplified Arabic" w:hAnsi="Simplified Arabic" w:cs="Simplified Arabic"/>
                <w:sz w:val="28"/>
                <w:szCs w:val="28"/>
              </w:rPr>
            </w:pPr>
            <w:r>
              <w:rPr>
                <w:rFonts w:ascii="Simplified Arabic" w:hAnsi="Simplified Arabic" w:cs="Simplified Arabic"/>
                <w:sz w:val="28"/>
                <w:szCs w:val="28"/>
                <w:rtl/>
              </w:rPr>
              <w:t>إجراء يطبق على المتهم أو المحكوم عليه خلال زمن معين لتأهيله ، وهو يعنى تقييد حرية الشخص الذي يطبق عليه هذا النظام بتكليفه بالتزامات محددة والإشراف عليه ومعاونته، فإذا انتهت مدة الاختبار بنجاح دون إخلال من جانب الشخص بالتزاماته سقطت التهمة أو الحكم، وإلا تابع القضاء الدعوى لسلب حرية الشخص أو إصدار الأوامر لتنفيذ الحكم المرجأ</w:t>
            </w:r>
          </w:p>
        </w:tc>
        <w:tc>
          <w:tcPr>
            <w:tcW w:w="3119" w:type="dxa"/>
            <w:tcBorders>
              <w:top w:val="single" w:sz="4" w:space="0" w:color="auto"/>
              <w:left w:val="single" w:sz="4" w:space="0" w:color="auto"/>
              <w:bottom w:val="single" w:sz="4" w:space="0" w:color="auto"/>
              <w:right w:val="single" w:sz="4" w:space="0" w:color="auto"/>
            </w:tcBorders>
            <w:hideMark/>
          </w:tcPr>
          <w:p w:rsidR="00D30AC3" w:rsidRDefault="00D30AC3">
            <w:pPr>
              <w:pStyle w:val="a3"/>
              <w:jc w:val="center"/>
              <w:rPr>
                <w:rFonts w:ascii="Simplified Arabic" w:hAnsi="Simplified Arabic" w:cs="Simplified Arabic"/>
                <w:sz w:val="28"/>
                <w:szCs w:val="28"/>
              </w:rPr>
            </w:pPr>
            <w:r>
              <w:rPr>
                <w:rFonts w:ascii="Simplified Arabic" w:hAnsi="Simplified Arabic" w:cs="Simplified Arabic"/>
                <w:sz w:val="28"/>
                <w:szCs w:val="28"/>
                <w:rtl/>
              </w:rPr>
              <w:t>يطلق بمقتضاه سراح المحكوم عليه قبل إتمام مدة العقوبة شريطة الالتزام بأداء واجبات معينة، يترتب على إخلاله لها العودة للمؤسسة العقابية</w:t>
            </w:r>
          </w:p>
        </w:tc>
      </w:tr>
    </w:tbl>
    <w:p w:rsidR="00D30AC3" w:rsidRDefault="00D30AC3" w:rsidP="00D30AC3">
      <w:pPr>
        <w:rPr>
          <w:rFonts w:ascii="Simplified Arabic" w:hAnsi="Simplified Arabic" w:cs="Simplified Arabic"/>
          <w:sz w:val="28"/>
          <w:szCs w:val="28"/>
          <w:rtl/>
          <w:lang w:bidi="ar-IQ"/>
        </w:rPr>
      </w:pPr>
    </w:p>
    <w:p w:rsidR="00D30AC3" w:rsidRDefault="00D30AC3" w:rsidP="00D30AC3">
      <w:pPr>
        <w:rPr>
          <w:rFonts w:ascii="Simplified Arabic" w:hAnsi="Simplified Arabic" w:cs="Simplified Arabic"/>
          <w:sz w:val="28"/>
          <w:szCs w:val="28"/>
          <w:rtl/>
          <w:lang w:bidi="ar-IQ"/>
        </w:rPr>
      </w:pPr>
    </w:p>
    <w:p w:rsidR="00D30AC3" w:rsidRDefault="00D30AC3" w:rsidP="00D30AC3">
      <w:pPr>
        <w:rPr>
          <w:rFonts w:ascii="Simplified Arabic" w:hAnsi="Simplified Arabic" w:cs="Simplified Arabic"/>
          <w:sz w:val="28"/>
          <w:szCs w:val="28"/>
          <w:rtl/>
          <w:lang w:bidi="ar-IQ"/>
        </w:rPr>
      </w:pPr>
    </w:p>
    <w:p w:rsidR="00D30AC3" w:rsidRDefault="00D30AC3" w:rsidP="00D30AC3">
      <w:pPr>
        <w:rPr>
          <w:rFonts w:ascii="Simplified Arabic" w:hAnsi="Simplified Arabic" w:cs="Simplified Arabic"/>
          <w:sz w:val="28"/>
          <w:szCs w:val="28"/>
          <w:rtl/>
          <w:lang w:bidi="ar-IQ"/>
        </w:rPr>
      </w:pPr>
    </w:p>
    <w:p w:rsidR="00D30AC3" w:rsidRDefault="00D30AC3" w:rsidP="00D30AC3">
      <w:pPr>
        <w:rPr>
          <w:rFonts w:ascii="Simplified Arabic" w:hAnsi="Simplified Arabic" w:cs="Simplified Arabic"/>
          <w:sz w:val="28"/>
          <w:szCs w:val="28"/>
          <w:rtl/>
          <w:lang w:bidi="ar-IQ"/>
        </w:rPr>
      </w:pPr>
    </w:p>
    <w:p w:rsidR="00D30AC3" w:rsidRDefault="00D30AC3" w:rsidP="00D30AC3">
      <w:pPr>
        <w:rPr>
          <w:rFonts w:ascii="Simplified Arabic" w:hAnsi="Simplified Arabic" w:cs="Simplified Arabic"/>
          <w:sz w:val="28"/>
          <w:szCs w:val="28"/>
          <w:rtl/>
          <w:lang w:bidi="ar-IQ"/>
        </w:rPr>
      </w:pPr>
    </w:p>
    <w:p w:rsidR="0028082E" w:rsidRDefault="0028082E">
      <w:pPr>
        <w:rPr>
          <w:lang w:bidi="ar-IQ"/>
        </w:rPr>
      </w:pPr>
    </w:p>
    <w:sectPr w:rsidR="0028082E"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D30AC3"/>
    <w:rsid w:val="0028082E"/>
    <w:rsid w:val="00782BAA"/>
    <w:rsid w:val="00D30A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AC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0AC3"/>
    <w:pPr>
      <w:bidi/>
      <w:spacing w:after="0" w:line="240" w:lineRule="auto"/>
    </w:pPr>
    <w:rPr>
      <w:rFonts w:ascii="Times New Roman" w:eastAsia="Times New Roman" w:hAnsi="Times New Roman" w:cs="Times New Roman"/>
      <w:sz w:val="24"/>
      <w:szCs w:val="24"/>
    </w:rPr>
  </w:style>
  <w:style w:type="table" w:styleId="a4">
    <w:name w:val="Table Grid"/>
    <w:basedOn w:val="a1"/>
    <w:rsid w:val="00D30AC3"/>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00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3602</Characters>
  <Application>Microsoft Office Word</Application>
  <DocSecurity>0</DocSecurity>
  <Lines>30</Lines>
  <Paragraphs>8</Paragraphs>
  <ScaleCrop>false</ScaleCrop>
  <Company>Hewlett-Packard</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2017-11-17T18:26:00Z</dcterms:created>
  <dcterms:modified xsi:type="dcterms:W3CDTF">2017-11-17T18:27:00Z</dcterms:modified>
</cp:coreProperties>
</file>