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Pr="001A63F6" w:rsidRDefault="002D0A46" w:rsidP="002D0A46">
      <w:pPr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  </w:t>
      </w:r>
      <w:r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A604EB" w:rsidRDefault="00A604EB" w:rsidP="00A604EB">
      <w:pPr>
        <w:jc w:val="center"/>
        <w:rPr>
          <w:rFonts w:ascii="Arial" w:hAnsi="Arial"/>
          <w:b/>
          <w:bCs/>
          <w:sz w:val="32"/>
          <w:szCs w:val="32"/>
        </w:rPr>
      </w:pPr>
    </w:p>
    <w:p w:rsidR="00A604EB" w:rsidRDefault="00A604EB" w:rsidP="00A604EB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Default="00670FB9" w:rsidP="002D0A4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30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Pr="0064312C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2D0A46" w:rsidRDefault="00964DE8" w:rsidP="002D0A46">
      <w:pPr>
        <w:bidi/>
        <w:jc w:val="center"/>
        <w:rPr>
          <w:rFonts w:ascii="Arial" w:hAnsi="Arial"/>
          <w:b/>
          <w:bCs/>
          <w:sz w:val="32"/>
          <w:szCs w:val="32"/>
          <w:rtl/>
          <w:lang w:val="en-US" w:bidi="ar-IQ"/>
        </w:rPr>
      </w:pPr>
      <w:r>
        <w:rPr>
          <w:rFonts w:ascii="Arial" w:hAnsi="Arial"/>
          <w:b/>
          <w:bCs/>
          <w:sz w:val="32"/>
          <w:szCs w:val="32"/>
        </w:rPr>
        <w:t>The Heterogeneous N</w:t>
      </w:r>
      <w:r w:rsidR="002D0A46">
        <w:rPr>
          <w:rFonts w:ascii="Arial" w:hAnsi="Arial"/>
          <w:b/>
          <w:bCs/>
          <w:sz w:val="32"/>
          <w:szCs w:val="32"/>
        </w:rPr>
        <w:t>ature of Arabic Adverbs</w:t>
      </w: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 w:bidi="ar-IQ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Arabic adverbs are more heterogeneous than the English ones because the English adverbs are mainly characterized by  (-</w:t>
      </w: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ly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) added to the adjectives. A number of adverbs are similar to the adjectives, and these are easily to be learned: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  They answered the questions easily/ quickly/ well.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 They are well.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The Arabic adverbs belong traditionally to particles and nouns. Two kinds of particle adverbs are recognized : separable and inseparable. </w:t>
      </w: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Separables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 are: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سين / سننجز المهمة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لام 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لاجازينه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...../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لانتم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افضل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منهم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لو/ لو فعلت هذا لندمت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 Inseparables are more than 30 particles: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Ll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, then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-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اذا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اذن</w:t>
      </w:r>
      <w:proofErr w:type="spellEnd"/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-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انما</w:t>
      </w:r>
      <w:proofErr w:type="spellEnd"/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/>
        </w:rPr>
        <w:t>بين/ بينما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sz w:val="28"/>
          <w:szCs w:val="28"/>
          <w:lang w:val="en-US"/>
        </w:rPr>
      </w:pPr>
    </w:p>
    <w:p w:rsidR="00F91D3A" w:rsidRPr="00964DE8" w:rsidRDefault="00F91D3A">
      <w:pPr>
        <w:rPr>
          <w:sz w:val="28"/>
          <w:szCs w:val="28"/>
          <w:lang w:bidi="ar-IQ"/>
        </w:rPr>
      </w:pPr>
    </w:p>
    <w:sectPr w:rsidR="00F91D3A" w:rsidRPr="00964DE8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0A46"/>
    <w:rsid w:val="000F72B7"/>
    <w:rsid w:val="002D0A46"/>
    <w:rsid w:val="0050523F"/>
    <w:rsid w:val="00670FB9"/>
    <w:rsid w:val="00855C68"/>
    <w:rsid w:val="00964DE8"/>
    <w:rsid w:val="00A604EB"/>
    <w:rsid w:val="00C37C81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4</cp:revision>
  <dcterms:created xsi:type="dcterms:W3CDTF">2016-12-01T20:52:00Z</dcterms:created>
  <dcterms:modified xsi:type="dcterms:W3CDTF">2016-12-02T17:04:00Z</dcterms:modified>
</cp:coreProperties>
</file>