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0D" w:rsidRPr="00C0070D" w:rsidRDefault="00971C97" w:rsidP="00C0070D">
      <w:pPr>
        <w:shd w:val="clear" w:color="auto" w:fill="FFFFFF" w:themeFill="background1"/>
        <w:bidi w:val="0"/>
        <w:spacing w:after="150" w:line="240" w:lineRule="auto"/>
        <w:jc w:val="center"/>
        <w:rPr>
          <w:rFonts w:ascii="inherit" w:eastAsia="Times New Roman" w:hAnsi="inherit" w:cs="Helvetica"/>
          <w:b/>
          <w:bCs/>
          <w:sz w:val="36"/>
          <w:szCs w:val="36"/>
        </w:rPr>
      </w:pPr>
      <w:r w:rsidRPr="00C0070D">
        <w:rPr>
          <w:rFonts w:ascii="inherit" w:eastAsia="Times New Roman" w:hAnsi="inherit" w:cs="Helvetica"/>
          <w:b/>
          <w:bCs/>
          <w:sz w:val="36"/>
          <w:szCs w:val="36"/>
        </w:rPr>
        <w:t>Administrative</w:t>
      </w:r>
      <w:r w:rsidR="00C0070D" w:rsidRPr="00C0070D">
        <w:rPr>
          <w:rFonts w:ascii="inherit" w:eastAsia="Times New Roman" w:hAnsi="inherit" w:cs="Helvetica"/>
          <w:b/>
          <w:bCs/>
          <w:sz w:val="36"/>
          <w:szCs w:val="36"/>
        </w:rPr>
        <w:t xml:space="preserve"> law in Iraq</w:t>
      </w:r>
    </w:p>
    <w:p w:rsidR="00C0070D" w:rsidRPr="00C0070D" w:rsidRDefault="00C0070D" w:rsidP="00C0070D">
      <w:pPr>
        <w:shd w:val="clear" w:color="auto" w:fill="FFFFFF" w:themeFill="background1"/>
        <w:bidi w:val="0"/>
        <w:spacing w:after="150" w:line="240" w:lineRule="auto"/>
        <w:jc w:val="center"/>
        <w:rPr>
          <w:rFonts w:ascii="inherit" w:eastAsia="Times New Roman" w:hAnsi="inherit" w:cs="Helvetica"/>
          <w:b/>
          <w:bCs/>
          <w:sz w:val="36"/>
          <w:szCs w:val="36"/>
        </w:rPr>
      </w:pPr>
      <w:r w:rsidRPr="00C0070D">
        <w:rPr>
          <w:rFonts w:ascii="inherit" w:eastAsia="Times New Roman" w:hAnsi="inherit" w:cs="Helvetica"/>
          <w:b/>
          <w:bCs/>
          <w:sz w:val="36"/>
          <w:szCs w:val="36"/>
        </w:rPr>
        <w:t>Historical background</w:t>
      </w:r>
    </w:p>
    <w:p w:rsidR="00740C86" w:rsidRDefault="00C0070D" w:rsidP="00C0070D">
      <w:pPr>
        <w:rPr>
          <w:rtl/>
          <w:lang w:bidi="ar-IQ"/>
        </w:rPr>
      </w:pPr>
      <w:r w:rsidRPr="00367373">
        <w:rPr>
          <w:rFonts w:ascii="inherit" w:eastAsia="Times New Roman" w:hAnsi="inherit" w:cs="Helvetica"/>
          <w:sz w:val="36"/>
          <w:szCs w:val="36"/>
        </w:rPr>
        <w:t xml:space="preserve"> Up to 1989, Iraqi judicial system did not know the duality of the civil law and administrative law. Nor did it know the dual system of courts. It was based on a unified judiciary, which may be termed as "civil" or "ordinary" one.</w:t>
      </w:r>
    </w:p>
    <w:p w:rsidR="00C0070D" w:rsidRDefault="00C0070D" w:rsidP="00C0070D">
      <w:pPr>
        <w:rPr>
          <w:rtl/>
          <w:lang w:bidi="ar-IQ"/>
        </w:rPr>
      </w:pPr>
    </w:p>
    <w:p w:rsidR="00C0070D" w:rsidRDefault="00C0070D" w:rsidP="00C0070D">
      <w:pPr>
        <w:rPr>
          <w:rtl/>
          <w:lang w:bidi="ar-IQ"/>
        </w:rPr>
      </w:pPr>
    </w:p>
    <w:p w:rsidR="00C0070D" w:rsidRDefault="00C0070D" w:rsidP="00C0070D">
      <w:pPr>
        <w:shd w:val="clear" w:color="auto" w:fill="FFFFFF" w:themeFill="background1"/>
        <w:bidi w:val="0"/>
        <w:spacing w:after="150" w:line="240" w:lineRule="auto"/>
        <w:rPr>
          <w:rFonts w:ascii="inherit" w:eastAsia="Times New Roman" w:hAnsi="inherit" w:cs="Helvetica"/>
          <w:sz w:val="36"/>
          <w:szCs w:val="36"/>
          <w:rtl/>
          <w:lang w:bidi="ar-IQ"/>
        </w:rPr>
      </w:pPr>
    </w:p>
    <w:p w:rsidR="00C0070D" w:rsidRPr="00C0070D" w:rsidRDefault="00C0070D" w:rsidP="00C0070D">
      <w:pPr>
        <w:shd w:val="clear" w:color="auto" w:fill="FFFFFF" w:themeFill="background1"/>
        <w:bidi w:val="0"/>
        <w:spacing w:after="150" w:line="240" w:lineRule="auto"/>
        <w:jc w:val="center"/>
        <w:rPr>
          <w:rFonts w:ascii="inherit" w:eastAsia="Times New Roman" w:hAnsi="inherit" w:cs="Helvetica"/>
          <w:b/>
          <w:bCs/>
          <w:sz w:val="36"/>
          <w:szCs w:val="36"/>
        </w:rPr>
      </w:pPr>
      <w:r w:rsidRPr="00C0070D">
        <w:rPr>
          <w:rFonts w:ascii="inherit" w:eastAsia="Times New Roman" w:hAnsi="inherit" w:cs="Helvetica"/>
          <w:b/>
          <w:bCs/>
          <w:sz w:val="36"/>
          <w:szCs w:val="36"/>
          <w:rtl/>
        </w:rPr>
        <w:t>القانون الإداري في العراق</w:t>
      </w:r>
    </w:p>
    <w:p w:rsidR="00C0070D" w:rsidRPr="00C0070D" w:rsidRDefault="00C0070D" w:rsidP="00C0070D">
      <w:pPr>
        <w:shd w:val="clear" w:color="auto" w:fill="FFFFFF" w:themeFill="background1"/>
        <w:bidi w:val="0"/>
        <w:spacing w:after="150" w:line="240" w:lineRule="auto"/>
        <w:jc w:val="center"/>
        <w:rPr>
          <w:rFonts w:ascii="inherit" w:eastAsia="Times New Roman" w:hAnsi="inherit" w:cs="Helvetica"/>
          <w:b/>
          <w:bCs/>
          <w:sz w:val="36"/>
          <w:szCs w:val="36"/>
        </w:rPr>
      </w:pPr>
      <w:r w:rsidRPr="00C0070D">
        <w:rPr>
          <w:rFonts w:ascii="inherit" w:eastAsia="Times New Roman" w:hAnsi="inherit" w:cs="Helvetica"/>
          <w:b/>
          <w:bCs/>
          <w:sz w:val="36"/>
          <w:szCs w:val="36"/>
          <w:rtl/>
        </w:rPr>
        <w:t>خلفية تاريخية</w:t>
      </w:r>
    </w:p>
    <w:p w:rsidR="00C0070D" w:rsidRDefault="00C0070D" w:rsidP="00C0070D">
      <w:pPr>
        <w:rPr>
          <w:rtl/>
        </w:rPr>
      </w:pPr>
      <w:r>
        <w:rPr>
          <w:rFonts w:ascii="inherit" w:eastAsia="Times New Roman" w:hAnsi="inherit" w:cs="Helvetica" w:hint="cs"/>
          <w:sz w:val="36"/>
          <w:szCs w:val="36"/>
          <w:rtl/>
        </w:rPr>
        <w:t xml:space="preserve"> </w:t>
      </w:r>
      <w:r w:rsidRPr="00367373">
        <w:rPr>
          <w:rFonts w:ascii="inherit" w:eastAsia="Times New Roman" w:hAnsi="inherit" w:cs="Helvetica"/>
          <w:sz w:val="36"/>
          <w:szCs w:val="36"/>
          <w:rtl/>
        </w:rPr>
        <w:t>حتى عام 1989، لم يكن النظام القضائي العراقي يعرف ازدواجية القانون المدني والقانون الإداري. كما أنها لم تعرف النظام المزدوج للمحاكم. واستندت إلى نظام قضائي موحد، يمكن أن يطلق عليه اسم "مدني" أو "عادي</w:t>
      </w:r>
      <w:r w:rsidRPr="00367373">
        <w:rPr>
          <w:rFonts w:ascii="inherit" w:eastAsia="Times New Roman" w:hAnsi="inherit" w:cs="Helvetica"/>
          <w:sz w:val="36"/>
          <w:szCs w:val="36"/>
        </w:rPr>
        <w:t>".</w:t>
      </w:r>
    </w:p>
    <w:sectPr w:rsidR="00C0070D" w:rsidSect="00740C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070D"/>
    <w:rsid w:val="00740C86"/>
    <w:rsid w:val="00971C97"/>
    <w:rsid w:val="00C007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3</cp:revision>
  <dcterms:created xsi:type="dcterms:W3CDTF">2017-04-27T17:42:00Z</dcterms:created>
  <dcterms:modified xsi:type="dcterms:W3CDTF">2017-04-27T17:50:00Z</dcterms:modified>
</cp:coreProperties>
</file>