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8F" w:rsidRPr="00204284" w:rsidRDefault="00A1288F" w:rsidP="00A1288F">
      <w:pPr>
        <w:pStyle w:val="ListParagraph"/>
        <w:tabs>
          <w:tab w:val="left" w:pos="2447"/>
        </w:tabs>
        <w:jc w:val="center"/>
        <w:rPr>
          <w:rFonts w:cs="Mudir MT"/>
          <w:b/>
          <w:bCs/>
          <w:sz w:val="36"/>
          <w:szCs w:val="36"/>
          <w:u w:val="single"/>
          <w:rtl/>
          <w:lang w:bidi="ar-IQ"/>
        </w:rPr>
      </w:pPr>
      <w:r w:rsidRPr="00204284">
        <w:rPr>
          <w:rFonts w:cs="Mudir MT" w:hint="cs"/>
          <w:b/>
          <w:bCs/>
          <w:sz w:val="36"/>
          <w:szCs w:val="36"/>
          <w:u w:val="single"/>
          <w:rtl/>
          <w:lang w:bidi="ar-IQ"/>
        </w:rPr>
        <w:t>المحاضرة الواحد والعشرون</w:t>
      </w:r>
    </w:p>
    <w:p w:rsidR="00A1288F" w:rsidRPr="00204284" w:rsidRDefault="00A1288F" w:rsidP="00A1288F">
      <w:pPr>
        <w:pStyle w:val="ListParagraph"/>
        <w:tabs>
          <w:tab w:val="left" w:pos="2447"/>
        </w:tabs>
        <w:jc w:val="center"/>
        <w:rPr>
          <w:rFonts w:cs="Mudir MT"/>
          <w:b/>
          <w:bCs/>
          <w:sz w:val="36"/>
          <w:szCs w:val="36"/>
          <w:rtl/>
          <w:lang w:bidi="ar-IQ"/>
        </w:rPr>
      </w:pPr>
    </w:p>
    <w:p w:rsidR="00A1288F" w:rsidRPr="00204284" w:rsidRDefault="00A1288F" w:rsidP="00A1288F">
      <w:pPr>
        <w:pStyle w:val="ListParagraph"/>
        <w:tabs>
          <w:tab w:val="left" w:pos="2447"/>
        </w:tabs>
        <w:jc w:val="center"/>
        <w:rPr>
          <w:rFonts w:cs="Mudir MT"/>
          <w:b/>
          <w:bCs/>
          <w:sz w:val="36"/>
          <w:szCs w:val="36"/>
          <w:rtl/>
          <w:lang w:bidi="ar-IQ"/>
        </w:rPr>
      </w:pPr>
    </w:p>
    <w:p w:rsidR="00A1288F" w:rsidRPr="00204284" w:rsidRDefault="00A1288F" w:rsidP="00A1288F">
      <w:pPr>
        <w:pStyle w:val="ListParagraph"/>
        <w:tabs>
          <w:tab w:val="left" w:pos="2447"/>
        </w:tabs>
        <w:jc w:val="center"/>
        <w:rPr>
          <w:rFonts w:cs="Mudir MT"/>
          <w:b/>
          <w:bCs/>
          <w:sz w:val="36"/>
          <w:szCs w:val="36"/>
          <w:rtl/>
          <w:lang w:bidi="ar-IQ"/>
        </w:rPr>
      </w:pPr>
      <w:r w:rsidRPr="00204284">
        <w:rPr>
          <w:rFonts w:cs="Mudir MT" w:hint="cs"/>
          <w:b/>
          <w:bCs/>
          <w:sz w:val="36"/>
          <w:szCs w:val="36"/>
          <w:rtl/>
          <w:lang w:bidi="ar-IQ"/>
        </w:rPr>
        <w:t>(حماية النساء والاطفال)</w:t>
      </w:r>
    </w:p>
    <w:p w:rsidR="00A1288F" w:rsidRPr="00204284" w:rsidRDefault="00A1288F" w:rsidP="00A1288F">
      <w:pPr>
        <w:pStyle w:val="ListParagraph"/>
        <w:tabs>
          <w:tab w:val="left" w:pos="2447"/>
        </w:tabs>
        <w:rPr>
          <w:rFonts w:cs="Mudir MT"/>
          <w:sz w:val="36"/>
          <w:szCs w:val="36"/>
          <w:rtl/>
          <w:lang w:bidi="ar-IQ"/>
        </w:rPr>
      </w:pPr>
      <w:r w:rsidRPr="00204284">
        <w:rPr>
          <w:rFonts w:cs="Mudir MT" w:hint="cs"/>
          <w:sz w:val="36"/>
          <w:szCs w:val="36"/>
          <w:rtl/>
          <w:lang w:bidi="ar-IQ"/>
        </w:rPr>
        <w:t>وتقسم الى حالات عدة وهي :-</w:t>
      </w:r>
    </w:p>
    <w:p w:rsidR="00A1288F" w:rsidRPr="00204284" w:rsidRDefault="00A1288F" w:rsidP="00A1288F">
      <w:pPr>
        <w:pStyle w:val="ListParagraph"/>
        <w:numPr>
          <w:ilvl w:val="0"/>
          <w:numId w:val="1"/>
        </w:numPr>
        <w:tabs>
          <w:tab w:val="left" w:pos="2447"/>
        </w:tabs>
        <w:rPr>
          <w:rFonts w:cs="Mudir MT"/>
          <w:sz w:val="36"/>
          <w:szCs w:val="36"/>
          <w:lang w:bidi="ar-IQ"/>
        </w:rPr>
      </w:pPr>
      <w:r w:rsidRPr="00204284">
        <w:rPr>
          <w:rFonts w:cs="Mudir MT" w:hint="cs"/>
          <w:sz w:val="36"/>
          <w:szCs w:val="36"/>
          <w:rtl/>
          <w:lang w:bidi="ar-IQ"/>
        </w:rPr>
        <w:t xml:space="preserve">الايداع في المستشفيات والاماكن الامنة </w:t>
      </w:r>
    </w:p>
    <w:p w:rsidR="00A1288F" w:rsidRPr="00204284" w:rsidRDefault="00A1288F" w:rsidP="00A1288F">
      <w:pPr>
        <w:pStyle w:val="ListParagraph"/>
        <w:numPr>
          <w:ilvl w:val="0"/>
          <w:numId w:val="1"/>
        </w:numPr>
        <w:tabs>
          <w:tab w:val="left" w:pos="2447"/>
        </w:tabs>
        <w:rPr>
          <w:rFonts w:cs="Mudir MT"/>
          <w:sz w:val="36"/>
          <w:szCs w:val="36"/>
          <w:lang w:bidi="ar-IQ"/>
        </w:rPr>
      </w:pPr>
      <w:r w:rsidRPr="00204284">
        <w:rPr>
          <w:rFonts w:cs="Mudir MT" w:hint="cs"/>
          <w:sz w:val="36"/>
          <w:szCs w:val="36"/>
          <w:rtl/>
          <w:lang w:bidi="ar-IQ"/>
        </w:rPr>
        <w:t>اعمال الاغاثة</w:t>
      </w:r>
      <w:bookmarkStart w:id="0" w:name="_GoBack"/>
      <w:bookmarkEnd w:id="0"/>
    </w:p>
    <w:p w:rsidR="00A1288F" w:rsidRPr="00204284" w:rsidRDefault="00A1288F" w:rsidP="00A1288F">
      <w:pPr>
        <w:pStyle w:val="ListParagraph"/>
        <w:numPr>
          <w:ilvl w:val="0"/>
          <w:numId w:val="1"/>
        </w:numPr>
        <w:tabs>
          <w:tab w:val="left" w:pos="2447"/>
        </w:tabs>
        <w:rPr>
          <w:rFonts w:cs="Mudir MT"/>
          <w:sz w:val="36"/>
          <w:szCs w:val="36"/>
          <w:lang w:bidi="ar-IQ"/>
        </w:rPr>
      </w:pPr>
      <w:r w:rsidRPr="00204284">
        <w:rPr>
          <w:rFonts w:cs="Mudir MT" w:hint="cs"/>
          <w:sz w:val="36"/>
          <w:szCs w:val="36"/>
          <w:rtl/>
          <w:lang w:bidi="ar-IQ"/>
        </w:rPr>
        <w:t>الحماية الممنوحة عند الاجلاء والنزوح</w:t>
      </w:r>
    </w:p>
    <w:p w:rsidR="00A1288F" w:rsidRPr="00204284" w:rsidRDefault="00A1288F" w:rsidP="00A1288F">
      <w:pPr>
        <w:pStyle w:val="ListParagraph"/>
        <w:tabs>
          <w:tab w:val="left" w:pos="2447"/>
        </w:tabs>
        <w:ind w:left="1080"/>
        <w:rPr>
          <w:rFonts w:cs="Mudir MT"/>
          <w:sz w:val="36"/>
          <w:szCs w:val="36"/>
          <w:rtl/>
          <w:lang w:bidi="ar-IQ"/>
        </w:rPr>
      </w:pPr>
      <w:r w:rsidRPr="00204284">
        <w:rPr>
          <w:rFonts w:cs="Mudir MT" w:hint="cs"/>
          <w:sz w:val="36"/>
          <w:szCs w:val="36"/>
          <w:rtl/>
          <w:lang w:bidi="ar-IQ"/>
        </w:rPr>
        <w:t>الاصل العام ان يحظر طبقا للقانون الدولي الانساني الترحيل الاجباري للمدنيين , الا ان هذا الترحيل قد يكون مشروعا عندما تقتضي مصلحة الشخص الذي يتم ترحيله ذلك ويظهر ذلك جليا في عمليات الاجلاء التي اشار اليها البروتوكول الاول لعام 1977.</w:t>
      </w:r>
    </w:p>
    <w:p w:rsidR="00A1288F" w:rsidRPr="00204284" w:rsidRDefault="00A1288F" w:rsidP="00A1288F">
      <w:pPr>
        <w:pStyle w:val="ListParagraph"/>
        <w:tabs>
          <w:tab w:val="left" w:pos="2447"/>
        </w:tabs>
        <w:jc w:val="center"/>
        <w:rPr>
          <w:rFonts w:cs="Mudir MT"/>
          <w:sz w:val="36"/>
          <w:szCs w:val="36"/>
          <w:rtl/>
          <w:lang w:bidi="ar-IQ"/>
        </w:rPr>
      </w:pPr>
    </w:p>
    <w:p w:rsidR="00915D8B" w:rsidRPr="00204284" w:rsidRDefault="00915D8B">
      <w:pPr>
        <w:rPr>
          <w:rFonts w:cs="Mudir MT"/>
          <w:lang w:bidi="ar-IQ"/>
        </w:rPr>
      </w:pPr>
    </w:p>
    <w:sectPr w:rsidR="00915D8B" w:rsidRPr="00204284" w:rsidSect="00E429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21F"/>
    <w:multiLevelType w:val="hybridMultilevel"/>
    <w:tmpl w:val="D0FA8ACE"/>
    <w:lvl w:ilvl="0" w:tplc="D47882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8F"/>
    <w:rsid w:val="00204284"/>
    <w:rsid w:val="00915D8B"/>
    <w:rsid w:val="00A1288F"/>
    <w:rsid w:val="00E4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88F"/>
    <w:pPr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88F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Microsoft (C)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dhmiaa</cp:lastModifiedBy>
  <cp:revision>2</cp:revision>
  <dcterms:created xsi:type="dcterms:W3CDTF">2017-04-25T06:54:00Z</dcterms:created>
  <dcterms:modified xsi:type="dcterms:W3CDTF">2017-04-25T06:54:00Z</dcterms:modified>
</cp:coreProperties>
</file>