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94" w:rsidRPr="00897200" w:rsidRDefault="00644094" w:rsidP="00644094">
      <w:pPr>
        <w:tabs>
          <w:tab w:val="left" w:pos="5426"/>
          <w:tab w:val="right" w:pos="8306"/>
        </w:tabs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Mustansiriyah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University</w:t>
      </w:r>
    </w:p>
    <w:p w:rsidR="00644094" w:rsidRDefault="00644094" w:rsidP="00644094">
      <w:pPr>
        <w:spacing w:line="240" w:lineRule="auto"/>
        <w:jc w:val="right"/>
        <w:rPr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College of Science</w:t>
      </w:r>
    </w:p>
    <w:p w:rsidR="00644094" w:rsidRPr="00413B96" w:rsidRDefault="00644094" w:rsidP="00644094">
      <w:pPr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Department of Biology</w:t>
      </w:r>
    </w:p>
    <w:p w:rsidR="00644094" w:rsidRPr="001248BD" w:rsidRDefault="00644094" w:rsidP="00644094">
      <w:pPr>
        <w:spacing w:line="240" w:lineRule="auto"/>
        <w:jc w:val="right"/>
        <w:rPr>
          <w:rFonts w:ascii="ArialMT" w:hAnsi="Arial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Genetic engineering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Dr.</w:t>
      </w:r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Rasha</w:t>
      </w:r>
      <w:proofErr w:type="spellEnd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Mohammed Al-</w:t>
      </w:r>
      <w:proofErr w:type="spellStart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Oqaili</w:t>
      </w:r>
      <w:proofErr w:type="spellEnd"/>
    </w:p>
    <w:p w:rsidR="00644094" w:rsidRDefault="00644094" w:rsidP="00FB1D16">
      <w:pPr>
        <w:jc w:val="right"/>
        <w:rPr>
          <w:rtl/>
          <w:lang w:bidi="ar-IQ"/>
        </w:rPr>
      </w:pPr>
      <w:r w:rsidRPr="00413B96">
        <w:rPr>
          <w:rFonts w:ascii="ArialMT" w:hAnsi="ArialMT" w:cs="ArialMT"/>
          <w:b/>
          <w:bCs/>
          <w:sz w:val="24"/>
          <w:szCs w:val="24"/>
          <w:u w:val="single"/>
        </w:rPr>
        <w:t xml:space="preserve">Lab </w:t>
      </w:r>
      <w:r w:rsidR="00FB1D16">
        <w:rPr>
          <w:rFonts w:ascii="ArialMT" w:hAnsi="ArialMT" w:cs="ArialMT"/>
          <w:b/>
          <w:bCs/>
          <w:sz w:val="24"/>
          <w:szCs w:val="24"/>
          <w:u w:val="single"/>
        </w:rPr>
        <w:t>5</w:t>
      </w:r>
    </w:p>
    <w:p w:rsidR="000347EF" w:rsidRPr="001A4C96" w:rsidRDefault="001A4C96" w:rsidP="001A4C9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1A4C96">
        <w:rPr>
          <w:rFonts w:ascii="Arial-BoldMT" w:hAnsi="Arial-BoldMT" w:cs="Arial-BoldMT"/>
          <w:b/>
          <w:bCs/>
          <w:sz w:val="32"/>
          <w:szCs w:val="32"/>
        </w:rPr>
        <w:t>Enzymes</w:t>
      </w:r>
    </w:p>
    <w:p w:rsidR="000347EF" w:rsidRDefault="000347EF" w:rsidP="006A4DB1">
      <w:pPr>
        <w:autoSpaceDE w:val="0"/>
        <w:autoSpaceDN w:val="0"/>
        <w:bidi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What are the enzymes used in recombinant DNA technology</w:t>
      </w:r>
      <w:r w:rsidR="001A4C96">
        <w:rPr>
          <w:rFonts w:ascii="Arial-BoldMT" w:hAnsi="Arial-BoldMT" w:cs="Arial-BoldMT"/>
          <w:b/>
          <w:bCs/>
          <w:sz w:val="24"/>
          <w:szCs w:val="24"/>
        </w:rPr>
        <w:t>?</w:t>
      </w:r>
    </w:p>
    <w:p w:rsidR="000347EF" w:rsidRDefault="000347EF" w:rsidP="006A4DB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DNA manipulative enzymes can be grouped into four broad classes,</w:t>
      </w:r>
      <w:r w:rsidR="006A4DB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depending on the type of reaction that they </w:t>
      </w:r>
      <w:proofErr w:type="spellStart"/>
      <w:r>
        <w:rPr>
          <w:rFonts w:ascii="ArialMT" w:hAnsi="ArialMT" w:cs="ArialMT"/>
          <w:sz w:val="24"/>
          <w:szCs w:val="24"/>
        </w:rPr>
        <w:t>catalyse</w:t>
      </w:r>
      <w:proofErr w:type="spellEnd"/>
      <w:r>
        <w:rPr>
          <w:rFonts w:ascii="ArialMT" w:hAnsi="ArialMT" w:cs="ArialMT"/>
          <w:sz w:val="24"/>
          <w:szCs w:val="24"/>
        </w:rPr>
        <w:t>:</w:t>
      </w:r>
    </w:p>
    <w:p w:rsidR="000347EF" w:rsidRDefault="000347EF" w:rsidP="000347EF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1-Nucleases</w:t>
      </w:r>
    </w:p>
    <w:p w:rsidR="000347EF" w:rsidRDefault="000347EF" w:rsidP="005069A8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Enzymes that attack and degrade DNA from the end known as </w:t>
      </w:r>
      <w:proofErr w:type="spellStart"/>
      <w:r>
        <w:rPr>
          <w:rFonts w:ascii="ArialMT" w:hAnsi="ArialMT" w:cs="ArialMT"/>
          <w:sz w:val="24"/>
          <w:szCs w:val="24"/>
        </w:rPr>
        <w:t>exonucleases</w:t>
      </w:r>
      <w:proofErr w:type="spellEnd"/>
    </w:p>
    <w:p w:rsidR="000347EF" w:rsidRDefault="000347EF" w:rsidP="005069A8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enzymes that cut DNA at internal site called endonucleases</w:t>
      </w:r>
    </w:p>
    <w:p w:rsidR="000347EF" w:rsidRDefault="000347EF" w:rsidP="005069A8">
      <w:pPr>
        <w:autoSpaceDE w:val="0"/>
        <w:autoSpaceDN w:val="0"/>
        <w:bidi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2- DNA ligase</w:t>
      </w:r>
    </w:p>
    <w:p w:rsidR="000347EF" w:rsidRDefault="000347EF" w:rsidP="005069A8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Enzymes that join or stick two duplexes together</w:t>
      </w:r>
    </w:p>
    <w:p w:rsidR="000347EF" w:rsidRDefault="000347EF" w:rsidP="005069A8">
      <w:pPr>
        <w:autoSpaceDE w:val="0"/>
        <w:autoSpaceDN w:val="0"/>
        <w:bidi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3-DNA polymerases</w:t>
      </w:r>
    </w:p>
    <w:p w:rsidR="000347EF" w:rsidRDefault="000347EF" w:rsidP="005069A8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Enzymes that synthesize DNA, but also have </w:t>
      </w:r>
      <w:proofErr w:type="spellStart"/>
      <w:r>
        <w:rPr>
          <w:rFonts w:ascii="ArialMT" w:hAnsi="ArialMT" w:cs="ArialMT"/>
          <w:sz w:val="24"/>
          <w:szCs w:val="24"/>
        </w:rPr>
        <w:t>exonucleae</w:t>
      </w:r>
      <w:proofErr w:type="spellEnd"/>
      <w:r>
        <w:rPr>
          <w:rFonts w:ascii="ArialMT" w:hAnsi="ArialMT" w:cs="ArialMT"/>
          <w:sz w:val="24"/>
          <w:szCs w:val="24"/>
        </w:rPr>
        <w:t xml:space="preserve"> function too.</w:t>
      </w:r>
    </w:p>
    <w:p w:rsidR="000D4694" w:rsidRDefault="000347EF" w:rsidP="005069A8">
      <w:pPr>
        <w:tabs>
          <w:tab w:val="left" w:pos="6914"/>
        </w:tabs>
        <w:spacing w:line="36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4-DNA Modifying Enzymes</w:t>
      </w:r>
      <w:r>
        <w:rPr>
          <w:rFonts w:ascii="ArialMT" w:hAnsi="ArialMT" w:cs="ArialMT"/>
          <w:sz w:val="24"/>
          <w:szCs w:val="24"/>
        </w:rPr>
        <w:t>, remove or add chemical groups.</w:t>
      </w:r>
    </w:p>
    <w:p w:rsidR="00EF700B" w:rsidRDefault="00EF700B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Nucleases</w:t>
      </w:r>
    </w:p>
    <w:p w:rsidR="00EF700B" w:rsidRDefault="003062CD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</w:t>
      </w:r>
      <w:r w:rsidR="00EF700B">
        <w:rPr>
          <w:rFonts w:ascii="ArialMT" w:hAnsi="ArialMT" w:cs="ArialMT"/>
          <w:sz w:val="24"/>
          <w:szCs w:val="24"/>
        </w:rPr>
        <w:t>We will principally focus on endonucleases that cut specific DNA sequence</w:t>
      </w:r>
    </w:p>
    <w:p w:rsidR="00EF700B" w:rsidRDefault="00EF700B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within DNA molecules.</w:t>
      </w:r>
    </w:p>
    <w:p w:rsidR="00EF700B" w:rsidRDefault="00EF700B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Endonucleases used for cloning DNA are known as restriction enzymes. They</w:t>
      </w:r>
    </w:p>
    <w:p w:rsidR="00EF700B" w:rsidRDefault="00EF700B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discovered for first time in the early of 1950, when it was shown that some</w:t>
      </w:r>
    </w:p>
    <w:p w:rsidR="00EF700B" w:rsidRDefault="00EF700B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strains of bacteria are immune to bacteriophage infection, Restriction occurs</w:t>
      </w:r>
    </w:p>
    <w:p w:rsidR="00EF700B" w:rsidRDefault="00EF700B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because the bacterium produces an enzyme that degrades the phage DNA</w:t>
      </w:r>
    </w:p>
    <w:p w:rsidR="00EF700B" w:rsidRDefault="00EF700B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before it has time to replicate and direct synthesis of new phage particles. The</w:t>
      </w:r>
    </w:p>
    <w:p w:rsidR="00EF700B" w:rsidRDefault="00EF700B" w:rsidP="00EF700B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bacterium’s own DNA is protected from attack because it carries additional</w:t>
      </w:r>
    </w:p>
    <w:p w:rsidR="00EF700B" w:rsidRDefault="00EF700B" w:rsidP="00EF700B">
      <w:pPr>
        <w:tabs>
          <w:tab w:val="left" w:pos="6914"/>
        </w:tabs>
        <w:spacing w:line="36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methyl groups that block the </w:t>
      </w:r>
      <w:proofErr w:type="spellStart"/>
      <w:r>
        <w:rPr>
          <w:rFonts w:ascii="ArialMT" w:hAnsi="ArialMT" w:cs="ArialMT"/>
          <w:sz w:val="24"/>
          <w:szCs w:val="24"/>
        </w:rPr>
        <w:t>degradative</w:t>
      </w:r>
      <w:proofErr w:type="spellEnd"/>
      <w:r>
        <w:rPr>
          <w:rFonts w:ascii="ArialMT" w:hAnsi="ArialMT" w:cs="ArialMT"/>
          <w:sz w:val="24"/>
          <w:szCs w:val="24"/>
        </w:rPr>
        <w:t xml:space="preserve"> enzyme action.</w:t>
      </w:r>
    </w:p>
    <w:p w:rsidR="00075D6F" w:rsidRPr="001241F0" w:rsidRDefault="00075D6F" w:rsidP="00075D6F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1241F0">
        <w:rPr>
          <w:rFonts w:ascii="Arial-BoldMT" w:hAnsi="Arial-BoldMT" w:cs="Arial-BoldMT"/>
          <w:b/>
          <w:bCs/>
          <w:sz w:val="28"/>
          <w:szCs w:val="28"/>
        </w:rPr>
        <w:t>How is restriction enzyme naming ?</w:t>
      </w:r>
    </w:p>
    <w:p w:rsidR="00D11B50" w:rsidRDefault="003062CD" w:rsidP="00075D6F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</w:t>
      </w:r>
      <w:r w:rsidR="00D11B50">
        <w:rPr>
          <w:rFonts w:ascii="ArialMT" w:hAnsi="ArialMT" w:cs="ArialMT"/>
          <w:sz w:val="24"/>
          <w:szCs w:val="24"/>
        </w:rPr>
        <w:t>A restriction enzyme is simply named by three italic letters that identify the</w:t>
      </w:r>
    </w:p>
    <w:p w:rsidR="00D11B50" w:rsidRDefault="00D11B50" w:rsidP="00D11B50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host bacterium, and then a capital letter and roman number to identify the</w:t>
      </w:r>
    </w:p>
    <w:p w:rsidR="00EF700B" w:rsidRDefault="00D11B50" w:rsidP="003062CD">
      <w:pPr>
        <w:autoSpaceDE w:val="0"/>
        <w:autoSpaceDN w:val="0"/>
        <w:bidi w:val="0"/>
        <w:adjustRightInd w:val="0"/>
        <w:spacing w:after="0" w:line="360" w:lineRule="auto"/>
        <w:rPr>
          <w:lang w:bidi="ar-IQ"/>
        </w:rPr>
      </w:pPr>
      <w:r>
        <w:rPr>
          <w:rFonts w:ascii="ArialMT" w:hAnsi="ArialMT" w:cs="ArialMT"/>
          <w:sz w:val="24"/>
          <w:szCs w:val="24"/>
        </w:rPr>
        <w:t xml:space="preserve">strain or serotype and the order of identification e.g. </w:t>
      </w:r>
      <w:proofErr w:type="spellStart"/>
      <w:r>
        <w:rPr>
          <w:rFonts w:ascii="ArialMT" w:hAnsi="ArialMT" w:cs="ArialMT"/>
          <w:sz w:val="24"/>
          <w:szCs w:val="24"/>
        </w:rPr>
        <w:t>BamHI</w:t>
      </w:r>
      <w:proofErr w:type="spellEnd"/>
      <w:r>
        <w:rPr>
          <w:rFonts w:ascii="ArialMT" w:hAnsi="ArialMT" w:cs="ArialMT"/>
          <w:sz w:val="24"/>
          <w:szCs w:val="24"/>
        </w:rPr>
        <w:t xml:space="preserve"> denotes a restriction enzymes from </w:t>
      </w:r>
      <w:r>
        <w:rPr>
          <w:rFonts w:ascii="Arial-ItalicMT" w:hAnsi="Arial-ItalicMT" w:cs="Arial-ItalicMT"/>
          <w:i/>
          <w:iCs/>
          <w:sz w:val="24"/>
          <w:szCs w:val="24"/>
        </w:rPr>
        <w:t xml:space="preserve">Bacillus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amyloliquefaciens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Strain or serotype H and was first identified in this Bacillus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sp.</w:t>
      </w:r>
      <w:r>
        <w:rPr>
          <w:rFonts w:ascii="ArialMT" w:hAnsi="ArialMT" w:cs="ArialMT"/>
          <w:sz w:val="24"/>
          <w:szCs w:val="24"/>
        </w:rPr>
        <w:t>HindIII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Haemophilus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 w:rsidR="003062CD">
        <w:rPr>
          <w:rFonts w:ascii="Arial-ItalicMT" w:hAnsi="Arial-ItalicMT" w:cs="Arial-ItalicMT"/>
          <w:i/>
          <w:iCs/>
          <w:sz w:val="24"/>
          <w:szCs w:val="24"/>
        </w:rPr>
        <w:t>influenza</w:t>
      </w:r>
    </w:p>
    <w:p w:rsidR="003062CD" w:rsidRPr="001241F0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1241F0">
        <w:rPr>
          <w:rFonts w:ascii="Arial-BoldMT" w:hAnsi="Arial-BoldMT" w:cs="Arial-BoldMT"/>
          <w:b/>
          <w:bCs/>
          <w:color w:val="000000"/>
          <w:sz w:val="28"/>
          <w:szCs w:val="28"/>
        </w:rPr>
        <w:lastRenderedPageBreak/>
        <w:t>Types of enzymes:-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1. Type I enzymes cut DNA at random far from their recognition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52525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sequences. They are </w:t>
      </w:r>
      <w:r>
        <w:rPr>
          <w:rFonts w:ascii="ArialMT" w:hAnsi="ArialMT" w:cs="ArialMT"/>
          <w:color w:val="252525"/>
          <w:sz w:val="24"/>
          <w:szCs w:val="24"/>
        </w:rPr>
        <w:t>multifunctional protein with both restriction and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52525"/>
          <w:sz w:val="24"/>
          <w:szCs w:val="24"/>
        </w:rPr>
      </w:pPr>
      <w:proofErr w:type="spellStart"/>
      <w:r>
        <w:rPr>
          <w:rFonts w:ascii="ArialMT" w:hAnsi="ArialMT" w:cs="ArialMT"/>
          <w:color w:val="252525"/>
          <w:sz w:val="24"/>
          <w:szCs w:val="24"/>
        </w:rPr>
        <w:t>methylase</w:t>
      </w:r>
      <w:proofErr w:type="spellEnd"/>
      <w:r>
        <w:rPr>
          <w:rFonts w:ascii="ArialMT" w:hAnsi="ArialMT" w:cs="ArialMT"/>
          <w:color w:val="252525"/>
          <w:sz w:val="24"/>
          <w:szCs w:val="24"/>
        </w:rPr>
        <w:t xml:space="preserve"> activities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2. Type II restriction endonucleases cut DNA at specific nucleotide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sequences. </w:t>
      </w:r>
      <w:r>
        <w:rPr>
          <w:rFonts w:ascii="ArialMT" w:hAnsi="ArialMT" w:cs="ArialMT"/>
          <w:color w:val="252525"/>
          <w:sz w:val="24"/>
          <w:szCs w:val="24"/>
        </w:rPr>
        <w:t xml:space="preserve">Restriction and </w:t>
      </w:r>
      <w:proofErr w:type="spellStart"/>
      <w:r>
        <w:rPr>
          <w:rFonts w:ascii="ArialMT" w:hAnsi="ArialMT" w:cs="ArialMT"/>
          <w:color w:val="252525"/>
          <w:sz w:val="24"/>
          <w:szCs w:val="24"/>
        </w:rPr>
        <w:t>methylase</w:t>
      </w:r>
      <w:proofErr w:type="spellEnd"/>
      <w:r>
        <w:rPr>
          <w:rFonts w:ascii="ArialMT" w:hAnsi="ArialMT" w:cs="ArialMT"/>
          <w:color w:val="252525"/>
          <w:sz w:val="24"/>
          <w:szCs w:val="24"/>
        </w:rPr>
        <w:t xml:space="preserve"> activities </w:t>
      </w:r>
      <w:r>
        <w:rPr>
          <w:rFonts w:ascii="ArialMT" w:hAnsi="ArialMT" w:cs="ArialMT"/>
          <w:color w:val="000000"/>
          <w:sz w:val="24"/>
          <w:szCs w:val="24"/>
        </w:rPr>
        <w:t>are separate.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3. Type III enzymes cleave outside of their recognition sequences. They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cut DNA about 20-30 base pairs after the recognition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site.They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are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252525"/>
          <w:sz w:val="24"/>
          <w:szCs w:val="24"/>
        </w:rPr>
      </w:pPr>
      <w:r>
        <w:rPr>
          <w:rFonts w:ascii="ArialMT" w:hAnsi="ArialMT" w:cs="ArialMT"/>
          <w:color w:val="252525"/>
          <w:sz w:val="24"/>
          <w:szCs w:val="24"/>
        </w:rPr>
        <w:t xml:space="preserve">multifunctional protein with both restriction and </w:t>
      </w:r>
      <w:proofErr w:type="spellStart"/>
      <w:r>
        <w:rPr>
          <w:rFonts w:ascii="ArialMT" w:hAnsi="ArialMT" w:cs="ArialMT"/>
          <w:color w:val="252525"/>
          <w:sz w:val="24"/>
          <w:szCs w:val="24"/>
        </w:rPr>
        <w:t>methylase</w:t>
      </w:r>
      <w:proofErr w:type="spellEnd"/>
      <w:r>
        <w:rPr>
          <w:rFonts w:ascii="ArialMT" w:hAnsi="ArialMT" w:cs="ArialMT"/>
          <w:color w:val="252525"/>
          <w:sz w:val="24"/>
          <w:szCs w:val="24"/>
        </w:rPr>
        <w:t xml:space="preserve"> activities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lang w:bidi="ar-IQ"/>
        </w:rPr>
      </w:pPr>
      <w:r>
        <w:rPr>
          <w:rFonts w:ascii="ArialMT" w:hAnsi="ArialMT" w:cs="ArialMT"/>
          <w:color w:val="000000"/>
          <w:sz w:val="24"/>
          <w:szCs w:val="24"/>
        </w:rPr>
        <w:t>4. Type IV enzymes target methylated DNA.</w:t>
      </w:r>
    </w:p>
    <w:p w:rsidR="003062CD" w:rsidRDefault="003062CD" w:rsidP="003062CD">
      <w:pPr>
        <w:autoSpaceDE w:val="0"/>
        <w:autoSpaceDN w:val="0"/>
        <w:bidi w:val="0"/>
        <w:adjustRightInd w:val="0"/>
        <w:spacing w:after="0" w:line="360" w:lineRule="auto"/>
        <w:rPr>
          <w:lang w:bidi="ar-IQ"/>
        </w:rPr>
      </w:pPr>
    </w:p>
    <w:p w:rsidR="00BC7E1C" w:rsidRDefault="00BC7E1C" w:rsidP="00BC7E1C">
      <w:pPr>
        <w:autoSpaceDE w:val="0"/>
        <w:autoSpaceDN w:val="0"/>
        <w:bidi w:val="0"/>
        <w:adjustRightInd w:val="0"/>
        <w:spacing w:after="0" w:line="36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Restriction enzymes mechanism</w:t>
      </w:r>
    </w:p>
    <w:p w:rsidR="00BC7E1C" w:rsidRDefault="00BC7E1C" w:rsidP="00BC7E1C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Restriction enzymes </w:t>
      </w:r>
      <w:proofErr w:type="spellStart"/>
      <w:r>
        <w:rPr>
          <w:rFonts w:ascii="ArialMT" w:hAnsi="ArialMT" w:cs="ArialMT"/>
          <w:sz w:val="24"/>
          <w:szCs w:val="24"/>
        </w:rPr>
        <w:t>recognise</w:t>
      </w:r>
      <w:proofErr w:type="spellEnd"/>
      <w:r>
        <w:rPr>
          <w:rFonts w:ascii="ArialMT" w:hAnsi="ArialMT" w:cs="ArialMT"/>
          <w:sz w:val="24"/>
          <w:szCs w:val="24"/>
        </w:rPr>
        <w:t xml:space="preserve"> the sequence, attach and cut through the DNA</w:t>
      </w:r>
    </w:p>
    <w:p w:rsidR="00BC7E1C" w:rsidRDefault="00BC7E1C" w:rsidP="00BC7E1C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by </w:t>
      </w:r>
      <w:proofErr w:type="spellStart"/>
      <w:r>
        <w:rPr>
          <w:rFonts w:ascii="ArialMT" w:hAnsi="ArialMT" w:cs="ArialMT"/>
          <w:sz w:val="24"/>
          <w:szCs w:val="24"/>
        </w:rPr>
        <w:t>catalysing</w:t>
      </w:r>
      <w:proofErr w:type="spellEnd"/>
      <w:r>
        <w:rPr>
          <w:rFonts w:ascii="ArialMT" w:hAnsi="ArialMT" w:cs="ArialMT"/>
          <w:sz w:val="24"/>
          <w:szCs w:val="24"/>
        </w:rPr>
        <w:t xml:space="preserve"> the hydrolysis of the bond between adjacent nucleotides. These</w:t>
      </w:r>
    </w:p>
    <w:p w:rsidR="00BC7E1C" w:rsidRDefault="00BC7E1C" w:rsidP="00BC7E1C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enzymes cut specific sequence called recognition site and its palindromic</w:t>
      </w:r>
    </w:p>
    <w:p w:rsidR="0007157C" w:rsidRDefault="00BC7E1C" w:rsidP="00BC7E1C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sequence.</w:t>
      </w:r>
    </w:p>
    <w:p w:rsidR="00973D7A" w:rsidRDefault="0007157C" w:rsidP="0007157C">
      <w:pPr>
        <w:tabs>
          <w:tab w:val="left" w:pos="1056"/>
        </w:tabs>
        <w:bidi w:val="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</w:rPr>
        <w:drawing>
          <wp:inline distT="0" distB="0" distL="0" distR="0" wp14:anchorId="4659C1B5" wp14:editId="7C69207B">
            <wp:extent cx="5274310" cy="3692574"/>
            <wp:effectExtent l="0" t="0" r="2540" b="31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D7A" w:rsidRDefault="00973D7A" w:rsidP="00973D7A">
      <w:pPr>
        <w:bidi w:val="0"/>
        <w:rPr>
          <w:rFonts w:ascii="ArialMT" w:hAnsi="ArialMT" w:cs="ArialMT"/>
          <w:sz w:val="24"/>
          <w:szCs w:val="24"/>
        </w:rPr>
      </w:pPr>
    </w:p>
    <w:p w:rsidR="00BC7E1C" w:rsidRDefault="00BC7E1C" w:rsidP="00973D7A">
      <w:pPr>
        <w:bidi w:val="0"/>
        <w:rPr>
          <w:rFonts w:ascii="ArialMT" w:hAnsi="ArialMT" w:cs="ArialMT"/>
          <w:sz w:val="24"/>
          <w:szCs w:val="24"/>
        </w:rPr>
      </w:pPr>
    </w:p>
    <w:p w:rsidR="00973D7A" w:rsidRPr="00973D7A" w:rsidRDefault="00973D7A" w:rsidP="00973D7A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973D7A">
        <w:rPr>
          <w:rFonts w:ascii="Arial-BoldMT" w:hAnsi="Arial-BoldMT" w:cs="Arial-BoldMT"/>
          <w:b/>
          <w:bCs/>
          <w:sz w:val="28"/>
          <w:szCs w:val="28"/>
        </w:rPr>
        <w:lastRenderedPageBreak/>
        <w:t>Blunt ends and sticky ends</w:t>
      </w:r>
    </w:p>
    <w:p w:rsidR="00973D7A" w:rsidRDefault="00973D7A" w:rsidP="00225F9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Many restriction endonucleases make a simple double-stranded cut in the</w:t>
      </w:r>
    </w:p>
    <w:p w:rsidR="00973D7A" w:rsidRDefault="00973D7A" w:rsidP="00225F9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middle of the recognition sequence, resulting in </w:t>
      </w:r>
      <w:r>
        <w:rPr>
          <w:rFonts w:ascii="Arial-BoldMT" w:hAnsi="Arial-BoldMT" w:cs="Arial-BoldMT"/>
          <w:b/>
          <w:bCs/>
          <w:sz w:val="24"/>
          <w:szCs w:val="24"/>
        </w:rPr>
        <w:t>a blunt end or flush end.</w:t>
      </w:r>
    </w:p>
    <w:p w:rsidR="00973D7A" w:rsidRDefault="00973D7A" w:rsidP="00225F9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Other restriction endonucleases, the two DNA strands are not cut at exactly</w:t>
      </w:r>
    </w:p>
    <w:p w:rsidR="00973D7A" w:rsidRDefault="00973D7A" w:rsidP="00225F9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same position. Instead the cleavage is staggered, usually by two or four</w:t>
      </w:r>
    </w:p>
    <w:p w:rsidR="00973D7A" w:rsidRDefault="00973D7A" w:rsidP="00225F9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nucleotides, so that the resulting DNA fragments have short single-stranded</w:t>
      </w:r>
    </w:p>
    <w:p w:rsidR="00973D7A" w:rsidRDefault="00973D7A" w:rsidP="00225F9E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overhangs at each end. These are called sticky or cohesive ends, as base</w:t>
      </w:r>
    </w:p>
    <w:p w:rsidR="00A03344" w:rsidRDefault="00973D7A" w:rsidP="00A0334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pairing between them can stick the DNA molecule back together again.</w:t>
      </w:r>
      <w:r w:rsidR="00225F9E" w:rsidRPr="00225F9E">
        <w:rPr>
          <w:rFonts w:ascii="ArialMT" w:hAnsi="ArialMT" w:cs="ArialMT"/>
          <w:sz w:val="24"/>
          <w:szCs w:val="24"/>
        </w:rPr>
        <w:t xml:space="preserve"> </w:t>
      </w:r>
      <w:r w:rsidR="00225F9E">
        <w:rPr>
          <w:rFonts w:ascii="ArialMT" w:hAnsi="ArialMT" w:cs="ArialMT"/>
          <w:sz w:val="24"/>
          <w:szCs w:val="24"/>
        </w:rPr>
        <w:t>One important feature of sticky end enzymes is that restriction endonucleases with different recognition sequences may produce the same</w:t>
      </w:r>
      <w:r w:rsidR="008A141E">
        <w:rPr>
          <w:rFonts w:ascii="ArialMT" w:hAnsi="ArialMT" w:cs="ArialMT"/>
          <w:sz w:val="24"/>
          <w:szCs w:val="24"/>
        </w:rPr>
        <w:t xml:space="preserve"> </w:t>
      </w:r>
      <w:r w:rsidR="00225F9E">
        <w:rPr>
          <w:rFonts w:ascii="ArialMT" w:hAnsi="ArialMT" w:cs="ArialMT"/>
          <w:sz w:val="24"/>
          <w:szCs w:val="24"/>
        </w:rPr>
        <w:t>sticky ends.</w:t>
      </w:r>
    </w:p>
    <w:p w:rsidR="00A03344" w:rsidRDefault="00A03344" w:rsidP="00A0334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A03344" w:rsidRDefault="00A03344" w:rsidP="00A0334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A03344" w:rsidRDefault="00A03344" w:rsidP="00A0334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</w:rPr>
        <w:drawing>
          <wp:inline distT="0" distB="0" distL="0" distR="0">
            <wp:extent cx="5364480" cy="4716780"/>
            <wp:effectExtent l="0" t="0" r="7620" b="76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44" w:rsidRDefault="00A03344" w:rsidP="00A03344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8A141E" w:rsidRDefault="008A141E" w:rsidP="008A141E">
      <w:pPr>
        <w:bidi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4"/>
          <w:szCs w:val="24"/>
        </w:rPr>
        <w:lastRenderedPageBreak/>
        <w:drawing>
          <wp:inline distT="0" distB="0" distL="0" distR="0">
            <wp:extent cx="5539740" cy="4831080"/>
            <wp:effectExtent l="0" t="0" r="381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06C" w:rsidRDefault="0025706C" w:rsidP="0025706C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25706C" w:rsidRPr="0025706C" w:rsidRDefault="0025706C" w:rsidP="0025706C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bookmarkStart w:id="0" w:name="_GoBack"/>
      <w:bookmarkEnd w:id="0"/>
      <w:r w:rsidRPr="0025706C">
        <w:rPr>
          <w:rFonts w:ascii="Arial-BoldMT" w:hAnsi="Arial-BoldMT" w:cs="Arial-BoldMT"/>
          <w:b/>
          <w:bCs/>
          <w:sz w:val="28"/>
          <w:szCs w:val="28"/>
        </w:rPr>
        <w:t>DNA ligase</w:t>
      </w:r>
    </w:p>
    <w:p w:rsidR="0025706C" w:rsidRDefault="0025706C" w:rsidP="0025706C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These enzymes </w:t>
      </w:r>
      <w:proofErr w:type="spellStart"/>
      <w:r>
        <w:rPr>
          <w:rFonts w:ascii="ArialMT" w:hAnsi="ArialMT" w:cs="ArialMT"/>
          <w:sz w:val="24"/>
          <w:szCs w:val="24"/>
        </w:rPr>
        <w:t>catalyse</w:t>
      </w:r>
      <w:proofErr w:type="spellEnd"/>
      <w:r>
        <w:rPr>
          <w:rFonts w:ascii="ArialMT" w:hAnsi="ArialMT" w:cs="ArialMT"/>
          <w:sz w:val="24"/>
          <w:szCs w:val="24"/>
        </w:rPr>
        <w:t xml:space="preserve"> the final step in creating recombinant DNA molecule.</w:t>
      </w:r>
    </w:p>
    <w:p w:rsidR="0025706C" w:rsidRDefault="0025706C" w:rsidP="0025706C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main role of DNA ligases in the cells is in DNA replication and repair.</w:t>
      </w:r>
    </w:p>
    <w:p w:rsidR="0025706C" w:rsidRDefault="0025706C" w:rsidP="0025706C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However, it is now used to generate recombinant DNA molecules.</w:t>
      </w:r>
    </w:p>
    <w:p w:rsidR="0025706C" w:rsidRDefault="0025706C" w:rsidP="0025706C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Main ligase used in cloning is that of the viral T4 DNA ligase.</w:t>
      </w:r>
    </w:p>
    <w:p w:rsidR="0025706C" w:rsidRDefault="0025706C" w:rsidP="0025706C">
      <w:pPr>
        <w:autoSpaceDE w:val="0"/>
        <w:autoSpaceDN w:val="0"/>
        <w:bidi w:val="0"/>
        <w:adjustRightInd w:val="0"/>
        <w:spacing w:after="0" w:line="36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25706C" w:rsidRPr="0025706C" w:rsidRDefault="0025706C" w:rsidP="003A5C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sz w:val="28"/>
          <w:szCs w:val="28"/>
        </w:rPr>
      </w:pPr>
      <w:r w:rsidRPr="0025706C">
        <w:rPr>
          <w:rFonts w:ascii="Arial-BoldMT" w:hAnsi="Arial-BoldMT" w:cs="Arial-BoldMT"/>
          <w:b/>
          <w:bCs/>
          <w:sz w:val="28"/>
          <w:szCs w:val="28"/>
        </w:rPr>
        <w:t>Application of restriction enzymes</w:t>
      </w:r>
    </w:p>
    <w:p w:rsidR="0025706C" w:rsidRDefault="0025706C" w:rsidP="003A5C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1- They are used to assist insertion of genes into plasmid vectors during</w:t>
      </w:r>
    </w:p>
    <w:p w:rsidR="0025706C" w:rsidRDefault="0025706C" w:rsidP="003A5C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gene cloning and protein expression experiments.</w:t>
      </w:r>
    </w:p>
    <w:p w:rsidR="0025706C" w:rsidRDefault="0025706C" w:rsidP="003A5C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2- Restriction enzymes can also be used to distinguish gene alleles by</w:t>
      </w:r>
    </w:p>
    <w:p w:rsidR="0025706C" w:rsidRDefault="0025706C" w:rsidP="003A5C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specifically recognizing single base changes in DNA known as Single</w:t>
      </w:r>
    </w:p>
    <w:p w:rsidR="0025706C" w:rsidRDefault="0025706C" w:rsidP="003A5C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Nucleotide Polymorphisms (SNPs)</w:t>
      </w:r>
    </w:p>
    <w:p w:rsidR="00AF12BE" w:rsidRDefault="0025706C" w:rsidP="003A5CC1">
      <w:pPr>
        <w:bidi w:val="0"/>
        <w:spacing w:line="36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3- Map DNA molecules and many other applications</w:t>
      </w:r>
    </w:p>
    <w:p w:rsidR="00AF12BE" w:rsidRDefault="00AF12BE" w:rsidP="00AF12BE">
      <w:pPr>
        <w:bidi w:val="0"/>
        <w:rPr>
          <w:rFonts w:ascii="ArialMT" w:hAnsi="ArialMT" w:cs="ArialMT"/>
          <w:sz w:val="24"/>
          <w:szCs w:val="24"/>
        </w:rPr>
      </w:pPr>
    </w:p>
    <w:p w:rsidR="00AF12BE" w:rsidRPr="00AF12BE" w:rsidRDefault="00AF12BE" w:rsidP="00AF12BE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AF12BE">
        <w:rPr>
          <w:rFonts w:ascii="Arial-BoldMT" w:hAnsi="Arial-BoldMT" w:cs="Arial-BoldMT"/>
          <w:b/>
          <w:bCs/>
          <w:color w:val="000000"/>
          <w:sz w:val="28"/>
          <w:szCs w:val="28"/>
        </w:rPr>
        <w:t>Procedure: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 typical restriction digestion reaction: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</w:t>
      </w: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Up to 1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μg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DNA (5-10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μL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)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</w:t>
      </w: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1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μL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of Restriction Enzyme*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</w:t>
      </w: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2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μL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10x Buffer (1x final concentration)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</w:t>
      </w: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1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μL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20x BSA** (if recommended)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</w:t>
      </w: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x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μL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dH</w:t>
      </w:r>
      <w:r>
        <w:rPr>
          <w:rFonts w:ascii="ArialMT" w:hAnsi="ArialMT" w:cs="ArialMT"/>
          <w:color w:val="000000"/>
          <w:sz w:val="16"/>
          <w:szCs w:val="16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>O (to bring total volume to 20μL)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</w:t>
      </w: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>Mix gently by pipetting.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</w:t>
      </w: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>Incubate tube at appropriate temperature (usually 37 °C and some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enzymes require a different temp.) for 1-2 hours.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Always </w:t>
      </w:r>
      <w:r>
        <w:rPr>
          <w:rFonts w:ascii="ArialMT" w:hAnsi="ArialMT" w:cs="ArialMT"/>
          <w:color w:val="000000"/>
          <w:sz w:val="24"/>
          <w:szCs w:val="24"/>
        </w:rPr>
        <w:t>follow the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manufacturer’s instructions.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333333"/>
          <w:sz w:val="20"/>
          <w:szCs w:val="20"/>
        </w:rPr>
        <w:t></w:t>
      </w:r>
      <w:r>
        <w:rPr>
          <w:rFonts w:ascii="Symbol" w:hAnsi="Symbol" w:cs="Symbol"/>
          <w:color w:val="333333"/>
          <w:sz w:val="20"/>
          <w:szCs w:val="20"/>
        </w:rPr>
        <w:t>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>After that you can check the digestion of your plasmid by running on</w:t>
      </w:r>
    </w:p>
    <w:p w:rsidR="00AF12BE" w:rsidRDefault="00AF12BE" w:rsidP="00AF12BE">
      <w:pPr>
        <w:autoSpaceDE w:val="0"/>
        <w:autoSpaceDN w:val="0"/>
        <w:bidi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agarose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gel alongside uncut plasmid (control).</w:t>
      </w:r>
    </w:p>
    <w:p w:rsidR="008A141E" w:rsidRPr="00AF12BE" w:rsidRDefault="00AF12BE" w:rsidP="00AF12BE">
      <w:pPr>
        <w:bidi w:val="0"/>
        <w:spacing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 Always add restriction enzyme last thing.</w:t>
      </w:r>
    </w:p>
    <w:sectPr w:rsidR="008A141E" w:rsidRPr="00AF12BE" w:rsidSect="00B06B4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8" w:rsidRDefault="00BB2A48" w:rsidP="00973D7A">
      <w:pPr>
        <w:spacing w:after="0" w:line="240" w:lineRule="auto"/>
      </w:pPr>
      <w:r>
        <w:separator/>
      </w:r>
    </w:p>
  </w:endnote>
  <w:endnote w:type="continuationSeparator" w:id="0">
    <w:p w:rsidR="00BB2A48" w:rsidRDefault="00BB2A48" w:rsidP="0097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8" w:rsidRDefault="00BB2A48" w:rsidP="00973D7A">
      <w:pPr>
        <w:spacing w:after="0" w:line="240" w:lineRule="auto"/>
      </w:pPr>
      <w:r>
        <w:separator/>
      </w:r>
    </w:p>
  </w:footnote>
  <w:footnote w:type="continuationSeparator" w:id="0">
    <w:p w:rsidR="00BB2A48" w:rsidRDefault="00BB2A48" w:rsidP="00973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41"/>
    <w:rsid w:val="000347EF"/>
    <w:rsid w:val="0007157C"/>
    <w:rsid w:val="00075D6F"/>
    <w:rsid w:val="000D4694"/>
    <w:rsid w:val="001241F0"/>
    <w:rsid w:val="001A4C96"/>
    <w:rsid w:val="00203141"/>
    <w:rsid w:val="00225F9E"/>
    <w:rsid w:val="0025706C"/>
    <w:rsid w:val="003062CD"/>
    <w:rsid w:val="003A5CC1"/>
    <w:rsid w:val="005069A8"/>
    <w:rsid w:val="00526C8D"/>
    <w:rsid w:val="00644094"/>
    <w:rsid w:val="006A4DB1"/>
    <w:rsid w:val="008A141E"/>
    <w:rsid w:val="00973D7A"/>
    <w:rsid w:val="00A03344"/>
    <w:rsid w:val="00A663C1"/>
    <w:rsid w:val="00AF12BE"/>
    <w:rsid w:val="00B06B4E"/>
    <w:rsid w:val="00BB2A48"/>
    <w:rsid w:val="00BC7E1C"/>
    <w:rsid w:val="00D11B50"/>
    <w:rsid w:val="00E666B9"/>
    <w:rsid w:val="00EF700B"/>
    <w:rsid w:val="00F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157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73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73D7A"/>
  </w:style>
  <w:style w:type="paragraph" w:styleId="a5">
    <w:name w:val="footer"/>
    <w:basedOn w:val="a"/>
    <w:link w:val="Char1"/>
    <w:uiPriority w:val="99"/>
    <w:unhideWhenUsed/>
    <w:rsid w:val="00973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73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7157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73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73D7A"/>
  </w:style>
  <w:style w:type="paragraph" w:styleId="a5">
    <w:name w:val="footer"/>
    <w:basedOn w:val="a"/>
    <w:link w:val="Char1"/>
    <w:uiPriority w:val="99"/>
    <w:unhideWhenUsed/>
    <w:rsid w:val="00973D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7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1894-4E9E-47D5-8696-25540ACC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22</cp:revision>
  <dcterms:created xsi:type="dcterms:W3CDTF">2025-02-01T16:40:00Z</dcterms:created>
  <dcterms:modified xsi:type="dcterms:W3CDTF">2025-02-01T17:59:00Z</dcterms:modified>
</cp:coreProperties>
</file>