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02" w:rsidRDefault="00770002" w:rsidP="00CC5B59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32"/>
          <w:szCs w:val="32"/>
          <w:rtl/>
        </w:rPr>
      </w:pPr>
    </w:p>
    <w:p w:rsidR="006F1CF4" w:rsidRDefault="006F1CF4" w:rsidP="007700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32"/>
          <w:szCs w:val="32"/>
        </w:rPr>
      </w:pPr>
    </w:p>
    <w:p w:rsidR="00770002" w:rsidRDefault="00770002" w:rsidP="00CD3C11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ab/>
      </w:r>
    </w:p>
    <w:p w:rsidR="00DF7CEB" w:rsidRDefault="00B73DC8" w:rsidP="007700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</w:rPr>
      </w:pPr>
      <w:r w:rsidRPr="00171B13">
        <w:rPr>
          <w:rFonts w:ascii="Times-Bold" w:hAnsi="Times-Bold" w:cs="Times-Bold"/>
          <w:b/>
          <w:bCs/>
          <w:sz w:val="32"/>
          <w:szCs w:val="32"/>
        </w:rPr>
        <w:t>THE GENUS LISTERIA</w:t>
      </w:r>
    </w:p>
    <w:p w:rsidR="00770002" w:rsidRPr="00171B13" w:rsidRDefault="00770002" w:rsidP="007700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  <w:rtl/>
        </w:rPr>
      </w:pPr>
    </w:p>
    <w:p w:rsidR="004B1806" w:rsidRPr="00171B13" w:rsidRDefault="004B1806" w:rsidP="00B208B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</w:rPr>
      </w:pPr>
      <w:r w:rsidRPr="00171B13">
        <w:rPr>
          <w:rFonts w:ascii="Times-Roman" w:hAnsi="Times-Roman" w:cs="Times-Roman"/>
          <w:sz w:val="32"/>
          <w:szCs w:val="32"/>
        </w:rPr>
        <w:t>At first considered as a member of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the family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Corynebacteriaceae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>, primarily because of morphological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characteristics, later chemotaxonomic studies demonstrated that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Listeria </w:t>
      </w:r>
      <w:r w:rsidRPr="00171B13">
        <w:rPr>
          <w:rFonts w:ascii="Times-Roman" w:hAnsi="Times-Roman" w:cs="Times-Roman"/>
          <w:sz w:val="32"/>
          <w:szCs w:val="32"/>
        </w:rPr>
        <w:t xml:space="preserve">spp. </w:t>
      </w:r>
      <w:proofErr w:type="gramStart"/>
      <w:r w:rsidRPr="00171B13">
        <w:rPr>
          <w:rFonts w:ascii="Times-Roman" w:hAnsi="Times-Roman" w:cs="Times-Roman"/>
          <w:sz w:val="32"/>
          <w:szCs w:val="32"/>
        </w:rPr>
        <w:t>are</w:t>
      </w:r>
      <w:proofErr w:type="gramEnd"/>
      <w:r w:rsidRPr="00171B13">
        <w:rPr>
          <w:rFonts w:ascii="Times-Roman" w:hAnsi="Times-Roman" w:cs="Times-Roman"/>
          <w:sz w:val="32"/>
          <w:szCs w:val="32"/>
        </w:rPr>
        <w:t xml:space="preserve"> quite distinct from the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corynebacteria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>. It was not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until 1984,</w:t>
      </w:r>
      <w:r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proofErr w:type="gramStart"/>
      <w:r w:rsidRPr="00171B13">
        <w:rPr>
          <w:rFonts w:ascii="Times-Roman" w:hAnsi="Times-Roman" w:cs="Times-Roman"/>
          <w:sz w:val="32"/>
          <w:szCs w:val="32"/>
        </w:rPr>
        <w:t>The</w:t>
      </w:r>
      <w:proofErr w:type="gramEnd"/>
      <w:r w:rsidRPr="00171B13">
        <w:rPr>
          <w:rFonts w:ascii="Times-Roman" w:hAnsi="Times-Roman" w:cs="Times-Roman"/>
          <w:sz w:val="32"/>
          <w:szCs w:val="32"/>
        </w:rPr>
        <w:t xml:space="preserve"> genus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Listeria </w:t>
      </w:r>
      <w:r w:rsidRPr="00171B13">
        <w:rPr>
          <w:rFonts w:ascii="Times-Roman" w:hAnsi="Times-Roman" w:cs="Times-Roman"/>
          <w:sz w:val="32"/>
          <w:szCs w:val="32"/>
        </w:rPr>
        <w:t>as originally described was monotypic, with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monocytogenes</w:t>
      </w:r>
      <w:proofErr w:type="spellEnd"/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the sole member. In the ensuing years a further seven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species were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recognised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: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>L</w:t>
      </w:r>
      <w:r w:rsidRPr="00171B13">
        <w:rPr>
          <w:rFonts w:ascii="Times-Roman" w:hAnsi="Times-Roman" w:cs="Times-Roman"/>
          <w:sz w:val="32"/>
          <w:szCs w:val="32"/>
        </w:rPr>
        <w:t xml:space="preserve">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ivanovii</w:t>
      </w:r>
      <w:proofErr w:type="spellEnd"/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(previously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monocytogenes</w:t>
      </w:r>
      <w:proofErr w:type="spellEnd"/>
      <w:r w:rsidR="00B73DC8" w:rsidRPr="00171B13">
        <w:rPr>
          <w:rFonts w:ascii="Times-Italic" w:hAnsi="Times-Italic" w:cs="Times-Italic" w:hint="cs"/>
          <w:i/>
          <w:iCs/>
          <w:sz w:val="32"/>
          <w:szCs w:val="32"/>
          <w:rtl/>
        </w:rPr>
        <w:t xml:space="preserve">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serovar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5),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innocua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,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welshimeri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,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seeligeri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,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murrayi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,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grayi</w:t>
      </w:r>
      <w:proofErr w:type="spellEnd"/>
      <w:r w:rsidR="00B73DC8" w:rsidRPr="00171B13">
        <w:rPr>
          <w:rFonts w:ascii="Times-Italic" w:hAnsi="Times-Italic" w:cs="Times-Italic" w:hint="cs"/>
          <w:i/>
          <w:iCs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and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denitrificans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>.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 Listeria </w:t>
      </w:r>
      <w:r w:rsidRPr="00171B13">
        <w:rPr>
          <w:rFonts w:ascii="Times-Roman" w:hAnsi="Times-Roman" w:cs="Times-Roman"/>
          <w:sz w:val="32"/>
          <w:szCs w:val="32"/>
        </w:rPr>
        <w:t xml:space="preserve">spp. are short </w:t>
      </w:r>
      <w:bookmarkStart w:id="0" w:name="_GoBack"/>
      <w:bookmarkEnd w:id="0"/>
      <w:r w:rsidRPr="00171B13">
        <w:rPr>
          <w:rFonts w:ascii="Times-Roman" w:hAnsi="Times-Roman" w:cs="Times-Roman"/>
          <w:sz w:val="32"/>
          <w:szCs w:val="32"/>
        </w:rPr>
        <w:t xml:space="preserve">(0.4–0.5 </w:t>
      </w:r>
      <w:r w:rsidR="00F8118C">
        <w:rPr>
          <w:rFonts w:ascii="Times New Roman" w:hAnsi="Times New Roman" w:cs="Times New Roman"/>
          <w:sz w:val="32"/>
          <w:szCs w:val="32"/>
        </w:rPr>
        <w:t>×</w:t>
      </w:r>
      <w:r w:rsidRPr="00171B13">
        <w:rPr>
          <w:rFonts w:ascii="Symbol" w:hAnsi="Symbol" w:cs="Symbol"/>
          <w:sz w:val="32"/>
          <w:szCs w:val="32"/>
        </w:rPr>
        <w:t></w:t>
      </w:r>
      <w:r w:rsidRPr="00171B13">
        <w:rPr>
          <w:rFonts w:ascii="Times-Roman" w:hAnsi="Times-Roman" w:cs="Times-Roman"/>
          <w:sz w:val="32"/>
          <w:szCs w:val="32"/>
        </w:rPr>
        <w:t xml:space="preserve">0.5–2.0 </w:t>
      </w:r>
      <w:r w:rsidR="00F8118C">
        <w:rPr>
          <w:rFonts w:ascii="Times New Roman" w:hAnsi="Times New Roman" w:cs="Times New Roman"/>
          <w:sz w:val="32"/>
          <w:szCs w:val="32"/>
        </w:rPr>
        <w:t>µ</w:t>
      </w:r>
      <w:r w:rsidRPr="00171B13">
        <w:rPr>
          <w:rFonts w:ascii="Times-Roman" w:hAnsi="Times-Roman" w:cs="Times-Roman"/>
          <w:sz w:val="32"/>
          <w:szCs w:val="32"/>
        </w:rPr>
        <w:t>m</w:t>
      </w:r>
      <w:r w:rsidRPr="0027601D">
        <w:rPr>
          <w:rFonts w:ascii="Times New Roman" w:hAnsi="Times New Roman" w:cs="Times New Roman"/>
          <w:sz w:val="32"/>
          <w:szCs w:val="32"/>
        </w:rPr>
        <w:t>) Gram-positive rods.</w:t>
      </w:r>
      <w:r w:rsidR="00B73DC8" w:rsidRPr="0027601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The onset time to gastrointestinal symptoms is unknown, but probably exceeds 12 hours. An early study suggested that </w:t>
      </w:r>
      <w:r w:rsidR="0027601D" w:rsidRPr="0027601D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 xml:space="preserve">L. </w:t>
      </w:r>
      <w:proofErr w:type="spellStart"/>
      <w:r w:rsidR="0027601D" w:rsidRPr="0027601D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monocytogenes</w:t>
      </w:r>
      <w:proofErr w:type="spellEnd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is unique among Gram-positive bacteria in that it might possess </w:t>
      </w:r>
      <w:hyperlink r:id="rId5" w:tooltip="Lipopolysaccharide" w:history="1">
        <w:r w:rsidR="0027601D" w:rsidRPr="0027601D">
          <w:rPr>
            <w:rStyle w:val="Hyperlink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lipopolysaccharide</w:t>
        </w:r>
      </w:hyperlink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which serves as an </w:t>
      </w:r>
      <w:hyperlink r:id="rId6" w:tooltip="Endotoxin" w:history="1">
        <w:r w:rsidR="0027601D" w:rsidRPr="0027601D">
          <w:rPr>
            <w:rStyle w:val="Hyperlink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endotoxin</w:t>
        </w:r>
      </w:hyperlink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 Later, it was found to not be a true endotoxin. </w:t>
      </w:r>
      <w:r w:rsidR="0027601D" w:rsidRPr="0027601D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Listeria</w:t>
      </w:r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cell walls consistently contain </w:t>
      </w:r>
      <w:proofErr w:type="spellStart"/>
      <w:r w:rsidR="0027601D" w:rsidRPr="0027601D">
        <w:rPr>
          <w:rFonts w:ascii="Times New Roman" w:hAnsi="Times New Roman" w:cs="Times New Roman"/>
          <w:sz w:val="32"/>
          <w:szCs w:val="32"/>
        </w:rPr>
        <w:fldChar w:fldCharType="begin"/>
      </w:r>
      <w:r w:rsidR="0027601D" w:rsidRPr="0027601D">
        <w:rPr>
          <w:rFonts w:ascii="Times New Roman" w:hAnsi="Times New Roman" w:cs="Times New Roman"/>
          <w:sz w:val="32"/>
          <w:szCs w:val="32"/>
        </w:rPr>
        <w:instrText xml:space="preserve"> HYPERLINK "https://en.wikipedia.org/wiki/Lipoteichoic_acid" \o "Lipoteichoic acid" </w:instrText>
      </w:r>
      <w:r w:rsidR="0027601D" w:rsidRPr="0027601D">
        <w:rPr>
          <w:rFonts w:ascii="Times New Roman" w:hAnsi="Times New Roman" w:cs="Times New Roman"/>
          <w:sz w:val="32"/>
          <w:szCs w:val="32"/>
        </w:rPr>
        <w:fldChar w:fldCharType="separate"/>
      </w:r>
      <w:r w:rsidR="0027601D" w:rsidRPr="0027601D">
        <w:rPr>
          <w:rStyle w:val="Hyperlink"/>
          <w:rFonts w:ascii="Times New Roman" w:hAnsi="Times New Roman" w:cs="Times New Roman"/>
          <w:color w:val="0B0080"/>
          <w:sz w:val="32"/>
          <w:szCs w:val="32"/>
          <w:u w:val="none"/>
          <w:shd w:val="clear" w:color="auto" w:fill="FFFFFF"/>
        </w:rPr>
        <w:t>lipoteichoic</w:t>
      </w:r>
      <w:proofErr w:type="spellEnd"/>
      <w:r w:rsidR="0027601D" w:rsidRPr="0027601D">
        <w:rPr>
          <w:rStyle w:val="Hyperlink"/>
          <w:rFonts w:ascii="Times New Roman" w:hAnsi="Times New Roman" w:cs="Times New Roman"/>
          <w:color w:val="0B0080"/>
          <w:sz w:val="32"/>
          <w:szCs w:val="32"/>
          <w:u w:val="none"/>
          <w:shd w:val="clear" w:color="auto" w:fill="FFFFFF"/>
        </w:rPr>
        <w:t xml:space="preserve"> acids</w:t>
      </w:r>
      <w:r w:rsidR="0027601D" w:rsidRPr="0027601D">
        <w:rPr>
          <w:rFonts w:ascii="Times New Roman" w:hAnsi="Times New Roman" w:cs="Times New Roman"/>
          <w:sz w:val="32"/>
          <w:szCs w:val="32"/>
        </w:rPr>
        <w:fldChar w:fldCharType="end"/>
      </w:r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in which a glycolipid moiety, such as a </w:t>
      </w:r>
      <w:proofErr w:type="spellStart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galactosyl-glucosyl-diglyceride</w:t>
      </w:r>
      <w:proofErr w:type="spellEnd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is covalently </w:t>
      </w:r>
      <w:proofErr w:type="gramStart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linked</w:t>
      </w:r>
      <w:proofErr w:type="gramEnd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to the terminal </w:t>
      </w:r>
      <w:proofErr w:type="spellStart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phosphomonoester</w:t>
      </w:r>
      <w:proofErr w:type="spellEnd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of the </w:t>
      </w:r>
      <w:proofErr w:type="spellStart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teichoic</w:t>
      </w:r>
      <w:proofErr w:type="spellEnd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acid. This lipid region anchors the polymer chain to the cytoplasmic membrane. These </w:t>
      </w:r>
      <w:proofErr w:type="spellStart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lipoteichoic</w:t>
      </w:r>
      <w:proofErr w:type="spellEnd"/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acids resemble the lipopolysaccharides of Gram-negative bacteria in both structure and function, being the only </w:t>
      </w:r>
      <w:hyperlink r:id="rId7" w:tooltip="Amphiphile" w:history="1">
        <w:r w:rsidR="0027601D" w:rsidRPr="0027601D">
          <w:rPr>
            <w:rStyle w:val="Hyperlink"/>
            <w:rFonts w:ascii="Times New Roman" w:hAnsi="Times New Roman" w:cs="Times New Roman"/>
            <w:color w:val="0B0080"/>
            <w:sz w:val="32"/>
            <w:szCs w:val="32"/>
            <w:u w:val="none"/>
            <w:shd w:val="clear" w:color="auto" w:fill="FFFFFF"/>
          </w:rPr>
          <w:t>amphipathic</w:t>
        </w:r>
      </w:hyperlink>
      <w:r w:rsidR="0027601D" w:rsidRPr="0027601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polymers at the cell surface</w:t>
      </w:r>
      <w:r w:rsidR="0027601D" w:rsidRPr="0027601D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="00B73DC8" w:rsidRPr="0027601D">
        <w:rPr>
          <w:rFonts w:ascii="Times-Roman" w:hAnsi="Times-Roman" w:cs="Times-Roman"/>
          <w:sz w:val="32"/>
          <w:szCs w:val="32"/>
        </w:rPr>
        <w:t xml:space="preserve"> </w:t>
      </w:r>
      <w:r w:rsidRPr="0027601D">
        <w:rPr>
          <w:rFonts w:ascii="Times-Roman" w:hAnsi="Times-Roman" w:cs="Times-Roman"/>
          <w:sz w:val="32"/>
          <w:szCs w:val="32"/>
        </w:rPr>
        <w:t>They are nonacid fast and do not produce</w:t>
      </w:r>
      <w:r w:rsidRPr="00171B13">
        <w:rPr>
          <w:rFonts w:ascii="Times-Roman" w:hAnsi="Times-Roman" w:cs="Times-Roman"/>
          <w:sz w:val="32"/>
          <w:szCs w:val="32"/>
        </w:rPr>
        <w:t xml:space="preserve"> spores. At 20 </w:t>
      </w:r>
      <w:r w:rsidRPr="00171B13">
        <w:rPr>
          <w:rFonts w:ascii="Symbol" w:hAnsi="Symbol" w:cs="Symbol"/>
          <w:sz w:val="32"/>
          <w:szCs w:val="32"/>
        </w:rPr>
        <w:t></w:t>
      </w:r>
      <w:r w:rsidRPr="00171B13">
        <w:rPr>
          <w:rFonts w:ascii="Times-Roman" w:hAnsi="Times-Roman" w:cs="Times-Roman"/>
          <w:sz w:val="32"/>
          <w:szCs w:val="32"/>
        </w:rPr>
        <w:t>C they are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motile by means of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peritrichous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flagella, but motility is not observed</w:t>
      </w:r>
      <w:r w:rsidR="00CC103F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in cultures incubated at 37 </w:t>
      </w:r>
      <w:r w:rsidRPr="00171B13">
        <w:rPr>
          <w:rFonts w:ascii="Symbol" w:hAnsi="Symbol" w:cs="Symbol"/>
          <w:sz w:val="32"/>
          <w:szCs w:val="32"/>
        </w:rPr>
        <w:t></w:t>
      </w:r>
      <w:r w:rsidRPr="00171B13">
        <w:rPr>
          <w:rFonts w:ascii="Times-Roman" w:hAnsi="Times-Roman" w:cs="Times-Roman"/>
          <w:sz w:val="32"/>
          <w:szCs w:val="32"/>
        </w:rPr>
        <w:t xml:space="preserve">C. They are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facultatively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anaerobic and</w:t>
      </w:r>
      <w:r w:rsidR="00CC103F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grow over a wide temperature range of 0–45 </w:t>
      </w:r>
      <w:r w:rsidRPr="00171B13">
        <w:rPr>
          <w:rFonts w:ascii="Symbol" w:hAnsi="Symbol" w:cs="Symbol"/>
          <w:sz w:val="32"/>
          <w:szCs w:val="32"/>
        </w:rPr>
        <w:t></w:t>
      </w:r>
      <w:r w:rsidRPr="00171B13">
        <w:rPr>
          <w:rFonts w:ascii="Times-Roman" w:hAnsi="Times-Roman" w:cs="Times-Roman"/>
          <w:sz w:val="32"/>
          <w:szCs w:val="32"/>
        </w:rPr>
        <w:t xml:space="preserve">C (optimum 30–36 </w:t>
      </w:r>
      <w:r w:rsidRPr="00171B13">
        <w:rPr>
          <w:rFonts w:ascii="Symbol" w:hAnsi="Symbol" w:cs="Symbol"/>
          <w:sz w:val="32"/>
          <w:szCs w:val="32"/>
        </w:rPr>
        <w:t></w:t>
      </w:r>
      <w:r w:rsidRPr="00171B13">
        <w:rPr>
          <w:rFonts w:ascii="Times-Roman" w:hAnsi="Times-Roman" w:cs="Times-Roman"/>
          <w:sz w:val="32"/>
          <w:szCs w:val="32"/>
        </w:rPr>
        <w:t>C),</w:t>
      </w:r>
      <w:r w:rsidR="00B73DC8" w:rsidRPr="00171B13">
        <w:rPr>
          <w:rFonts w:ascii="Times-Roman" w:hAnsi="Times-Roman" w:cs="Times-Roman"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although growth at very low temperatures is slow. Growth over a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wide pH range occurs, with some strains growing at pH 9.6, but is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optimal at neutral to slightly alkaline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pH.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lastRenderedPageBreak/>
        <w:t>The major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antigenic determinants of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Listeria </w:t>
      </w:r>
      <w:r w:rsidRPr="00171B13">
        <w:rPr>
          <w:rFonts w:ascii="Times-Roman" w:hAnsi="Times-Roman" w:cs="Times-Roman"/>
          <w:sz w:val="32"/>
          <w:szCs w:val="32"/>
        </w:rPr>
        <w:t>spp. are the somatic (O</w:t>
      </w:r>
      <w:proofErr w:type="gramStart"/>
      <w:r w:rsidRPr="00171B13">
        <w:rPr>
          <w:rFonts w:ascii="Times-Roman" w:hAnsi="Times-Roman" w:cs="Times-Roman"/>
          <w:sz w:val="32"/>
          <w:szCs w:val="32"/>
        </w:rPr>
        <w:t>)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B73DC8" w:rsidRPr="00171B13">
        <w:rPr>
          <w:rFonts w:ascii="Times-Roman" w:hAnsi="Times-Roman" w:cs="Times-Roman"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and</w:t>
      </w:r>
      <w:proofErr w:type="gramEnd"/>
      <w:r w:rsidRPr="00171B13">
        <w:rPr>
          <w:rFonts w:ascii="Times-Roman" w:hAnsi="Times-Roman" w:cs="Times-Roman"/>
          <w:sz w:val="32"/>
          <w:szCs w:val="32"/>
        </w:rPr>
        <w:t xml:space="preserve">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flagellar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(H) antigens. The current serotyping scheme, based on</w:t>
      </w:r>
      <w:r w:rsidR="00CC103F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these antigens, distinguishes six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serogroups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(1/2, 3, 4, 5, 6 and 7)</w:t>
      </w:r>
      <w:r w:rsidR="00CC103F">
        <w:rPr>
          <w:rFonts w:ascii="Times-Roman" w:hAnsi="Times-Roman" w:cs="Times-Roman" w:hint="cs"/>
          <w:sz w:val="32"/>
          <w:szCs w:val="32"/>
          <w:rtl/>
        </w:rPr>
        <w:t>.</w:t>
      </w:r>
    </w:p>
    <w:p w:rsidR="002D3C64" w:rsidRPr="00171B13" w:rsidRDefault="002D3C64" w:rsidP="00CD7048">
      <w:pPr>
        <w:jc w:val="both"/>
        <w:rPr>
          <w:sz w:val="32"/>
          <w:szCs w:val="32"/>
        </w:rPr>
      </w:pPr>
    </w:p>
    <w:p w:rsidR="004B1806" w:rsidRPr="00171B13" w:rsidRDefault="004B1806" w:rsidP="00CD704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32"/>
          <w:szCs w:val="32"/>
        </w:rPr>
      </w:pPr>
      <w:r w:rsidRPr="00171B13">
        <w:rPr>
          <w:rFonts w:ascii="Times-Bold" w:hAnsi="Times-Bold" w:cs="Times-Bold"/>
          <w:b/>
          <w:bCs/>
          <w:sz w:val="32"/>
          <w:szCs w:val="32"/>
        </w:rPr>
        <w:t>PATHOGENESIS</w:t>
      </w:r>
    </w:p>
    <w:p w:rsidR="004B1806" w:rsidRPr="00171B13" w:rsidRDefault="004B1806" w:rsidP="00CD70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</w:rPr>
      </w:pPr>
      <w:r w:rsidRPr="00171B13">
        <w:rPr>
          <w:rFonts w:ascii="Times-Roman" w:hAnsi="Times-Roman" w:cs="Times-Roman"/>
          <w:sz w:val="32"/>
          <w:szCs w:val="32"/>
        </w:rPr>
        <w:t>Apart from the very rare exception of direct inoculation via skin or</w:t>
      </w:r>
    </w:p>
    <w:p w:rsidR="004B1806" w:rsidRPr="00171B13" w:rsidRDefault="004B1806" w:rsidP="00CD70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</w:rPr>
      </w:pPr>
      <w:proofErr w:type="gramStart"/>
      <w:r w:rsidRPr="00171B13">
        <w:rPr>
          <w:rFonts w:ascii="Times-Roman" w:hAnsi="Times-Roman" w:cs="Times-Roman"/>
          <w:sz w:val="32"/>
          <w:szCs w:val="32"/>
        </w:rPr>
        <w:t>conjunctiva</w:t>
      </w:r>
      <w:proofErr w:type="gramEnd"/>
      <w:r w:rsidRPr="00171B13">
        <w:rPr>
          <w:rFonts w:ascii="Times-Roman" w:hAnsi="Times-Roman" w:cs="Times-Roman"/>
          <w:sz w:val="32"/>
          <w:szCs w:val="32"/>
        </w:rPr>
        <w:t>, it is most likely that in the adult the bacteria gain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access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to the host via the gastrointestinal tract. In the case of the fetus,</w:t>
      </w:r>
      <w:r w:rsidR="00B73DC8" w:rsidRPr="00171B13">
        <w:rPr>
          <w:rFonts w:ascii="Times-Roman" w:hAnsi="Times-Roman" w:cs="Times-Roman"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infection in the majority of cases arises from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haematogenous</w:t>
      </w:r>
      <w:proofErr w:type="spellEnd"/>
    </w:p>
    <w:p w:rsidR="004B1806" w:rsidRPr="00171B13" w:rsidRDefault="004B1806" w:rsidP="0062409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</w:rPr>
      </w:pPr>
      <w:proofErr w:type="gramStart"/>
      <w:r w:rsidRPr="00171B13">
        <w:rPr>
          <w:rFonts w:ascii="Times-Roman" w:hAnsi="Times-Roman" w:cs="Times-Roman"/>
          <w:sz w:val="32"/>
          <w:szCs w:val="32"/>
        </w:rPr>
        <w:t>seeding</w:t>
      </w:r>
      <w:proofErr w:type="gramEnd"/>
      <w:r w:rsidRPr="00171B13">
        <w:rPr>
          <w:rFonts w:ascii="Times-Roman" w:hAnsi="Times-Roman" w:cs="Times-Roman"/>
          <w:sz w:val="32"/>
          <w:szCs w:val="32"/>
        </w:rPr>
        <w:t xml:space="preserve"> of the placenta and only a few cases are thought to be</w:t>
      </w:r>
      <w:r w:rsidR="00624099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acquired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intra partum </w:t>
      </w:r>
      <w:r w:rsidRPr="00171B13">
        <w:rPr>
          <w:rFonts w:ascii="Times-Roman" w:hAnsi="Times-Roman" w:cs="Times-Roman"/>
          <w:sz w:val="32"/>
          <w:szCs w:val="32"/>
        </w:rPr>
        <w:t>as the neonate exits the birth canal. Late onset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neonatal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listeriosis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is acquired through direct or indirect person-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toperson</w:t>
      </w:r>
      <w:proofErr w:type="spellEnd"/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transmission.</w:t>
      </w:r>
      <w:r w:rsidR="00B73DC8" w:rsidRPr="00171B13">
        <w:rPr>
          <w:rFonts w:ascii="Times-Roman" w:hAnsi="Times-Roman" w:cs="Times-Roman"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Although it has been suggested that co-infection with another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gastrointestinal pathogen may predispose to invasion of the gut by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monocytogenes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>, it is now known that the bacterium can specify its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own uptake by mammalian cells, including those which are nonprofessional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phagocytes. The expression of cell-surface-associated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proteins, of which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internalin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(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Inl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) A and B </w:t>
      </w:r>
      <w:proofErr w:type="gramStart"/>
      <w:r w:rsidRPr="00171B13">
        <w:rPr>
          <w:rFonts w:ascii="Times-Roman" w:hAnsi="Times-Roman" w:cs="Times-Roman"/>
          <w:sz w:val="32"/>
          <w:szCs w:val="32"/>
        </w:rPr>
        <w:t>are</w:t>
      </w:r>
      <w:proofErr w:type="gramEnd"/>
      <w:r w:rsidRPr="00171B13">
        <w:rPr>
          <w:rFonts w:ascii="Times-Roman" w:hAnsi="Times-Roman" w:cs="Times-Roman"/>
          <w:sz w:val="32"/>
          <w:szCs w:val="32"/>
        </w:rPr>
        <w:t xml:space="preserve"> the best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characterised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>,</w:t>
      </w:r>
      <w:r w:rsidR="00B73DC8" w:rsidRPr="00171B13">
        <w:rPr>
          <w:rFonts w:ascii="Times-Roman" w:hAnsi="Times-Roman" w:cs="Times-Roman"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are of key importance in this process. Another protein (p60), the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product of the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iap</w:t>
      </w:r>
      <w:proofErr w:type="spellEnd"/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gene, recently renamed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cwhA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(cell-wall hydrolase)</w:t>
      </w:r>
      <w:r w:rsidR="00B73DC8" w:rsidRPr="00171B13">
        <w:rPr>
          <w:rFonts w:ascii="Times-Roman" w:hAnsi="Times-Roman" w:cs="Times-Roman"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was originally thought to play a significant role in this context, but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its contribution to invasiveness has since been </w:t>
      </w:r>
      <w:proofErr w:type="gramStart"/>
      <w:r w:rsidRPr="00171B13">
        <w:rPr>
          <w:rFonts w:ascii="Times-Roman" w:hAnsi="Times-Roman" w:cs="Times-Roman"/>
          <w:sz w:val="32"/>
          <w:szCs w:val="32"/>
        </w:rPr>
        <w:t xml:space="preserve">downplayed 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>.</w:t>
      </w:r>
      <w:proofErr w:type="gramEnd"/>
      <w:r w:rsidR="00B73DC8" w:rsidRPr="00171B13">
        <w:rPr>
          <w:rFonts w:ascii="Times-Roman" w:hAnsi="Times-Roman" w:cs="Times-Roman"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Following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internalisation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by the host cell, the bacterium lyses the</w:t>
      </w:r>
    </w:p>
    <w:p w:rsidR="004B1806" w:rsidRPr="00171B13" w:rsidRDefault="004B1806" w:rsidP="00CD704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32"/>
          <w:szCs w:val="32"/>
        </w:rPr>
      </w:pPr>
      <w:proofErr w:type="gramStart"/>
      <w:r w:rsidRPr="00171B13">
        <w:rPr>
          <w:rFonts w:ascii="Times-Roman" w:hAnsi="Times-Roman" w:cs="Times-Roman"/>
          <w:sz w:val="32"/>
          <w:szCs w:val="32"/>
        </w:rPr>
        <w:t>membranes</w:t>
      </w:r>
      <w:proofErr w:type="gramEnd"/>
      <w:r w:rsidRPr="00171B13">
        <w:rPr>
          <w:rFonts w:ascii="Times-Roman" w:hAnsi="Times-Roman" w:cs="Times-Roman"/>
          <w:sz w:val="32"/>
          <w:szCs w:val="32"/>
        </w:rPr>
        <w:t xml:space="preserve"> of the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phagosomal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vacuole.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Lysis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is mediated by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listeriolysin</w:t>
      </w:r>
      <w:proofErr w:type="spellEnd"/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O, a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haemolysin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which is related to other cholesterol-dependent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pore-forming toxins (CDTX) such as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streptolysin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O. Two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phospholipases,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PlcA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and B, are also deemed to be important in allowing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monocytogenes</w:t>
      </w:r>
      <w:proofErr w:type="spellEnd"/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to escape from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phagosomal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vacuoles. Once free in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the host cell cytoplasm, the protein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ActA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promotes actin accumulation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and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polymerisation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resulting in the formation of an actin tail at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apole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of the bacterium, and it is propelled in a pseudopod-like structure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into an adjacent cell </w:t>
      </w:r>
      <w:r w:rsidRPr="00171B13">
        <w:rPr>
          <w:rFonts w:ascii="Times-Roman" w:hAnsi="Times-Roman" w:cs="Times-Roman"/>
          <w:sz w:val="32"/>
          <w:szCs w:val="32"/>
        </w:rPr>
        <w:lastRenderedPageBreak/>
        <w:t xml:space="preserve">whereupon it is then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phagocytosed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>. The bacterium</w:t>
      </w:r>
      <w:r w:rsidR="00B73DC8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escapes from the resulting double-membrane vacuole through</w:t>
      </w:r>
      <w:r w:rsidR="00ED0816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production of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listeriolysin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and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PlcA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and B.</w:t>
      </w:r>
      <w:r w:rsidRPr="00171B13">
        <w:rPr>
          <w:rFonts w:ascii="Times-Bold" w:hAnsi="Times-Bold" w:cs="Times-Bold"/>
          <w:b/>
          <w:bCs/>
          <w:sz w:val="32"/>
          <w:szCs w:val="32"/>
        </w:rPr>
        <w:t xml:space="preserve"> </w:t>
      </w:r>
    </w:p>
    <w:p w:rsidR="004B1806" w:rsidRPr="00171B13" w:rsidRDefault="004B1806" w:rsidP="00CD70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</w:rPr>
      </w:pP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Listeria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monocytogenes</w:t>
      </w:r>
      <w:proofErr w:type="spellEnd"/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has been isolated from a very wide range of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environmental sources including dust soil and sewage. </w:t>
      </w:r>
      <w:proofErr w:type="gramStart"/>
      <w:r w:rsidRPr="00171B13">
        <w:rPr>
          <w:rFonts w:ascii="Times-Roman" w:hAnsi="Times-Roman" w:cs="Times-Roman"/>
          <w:sz w:val="32"/>
          <w:szCs w:val="32"/>
        </w:rPr>
        <w:t>Although it is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often considered that </w:t>
      </w: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monocytogenes</w:t>
      </w:r>
      <w:proofErr w:type="spellEnd"/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in soil and vegetation results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from </w:t>
      </w:r>
      <w:proofErr w:type="spellStart"/>
      <w:r w:rsidRPr="00171B13">
        <w:rPr>
          <w:rFonts w:ascii="Times-Roman" w:hAnsi="Times-Roman" w:cs="Times-Roman"/>
          <w:sz w:val="32"/>
          <w:szCs w:val="32"/>
        </w:rPr>
        <w:t>faecal</w:t>
      </w:r>
      <w:proofErr w:type="spellEnd"/>
      <w:r w:rsidRPr="00171B13">
        <w:rPr>
          <w:rFonts w:ascii="Times-Roman" w:hAnsi="Times-Roman" w:cs="Times-Roman"/>
          <w:sz w:val="32"/>
          <w:szCs w:val="32"/>
        </w:rPr>
        <w:t xml:space="preserve"> contamination by animals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>.</w:t>
      </w:r>
      <w:proofErr w:type="gramEnd"/>
      <w:r w:rsidRPr="00171B13">
        <w:rPr>
          <w:rFonts w:ascii="Times-Roman" w:hAnsi="Times-Roman" w:cs="Times-Roman"/>
          <w:sz w:val="32"/>
          <w:szCs w:val="32"/>
        </w:rPr>
        <w:t xml:space="preserve"> </w:t>
      </w:r>
    </w:p>
    <w:p w:rsidR="004B1806" w:rsidRPr="00171B13" w:rsidRDefault="004B1806" w:rsidP="00CD70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</w:rPr>
      </w:pPr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Listeria </w:t>
      </w:r>
      <w:proofErr w:type="spellStart"/>
      <w:r w:rsidRPr="00171B13">
        <w:rPr>
          <w:rFonts w:ascii="Times-Italic" w:hAnsi="Times-Italic" w:cs="Times-Italic"/>
          <w:i/>
          <w:iCs/>
          <w:sz w:val="32"/>
          <w:szCs w:val="32"/>
        </w:rPr>
        <w:t>monocytogenes</w:t>
      </w:r>
      <w:proofErr w:type="spellEnd"/>
      <w:r w:rsidRPr="00171B13">
        <w:rPr>
          <w:rFonts w:ascii="Times-Italic" w:hAnsi="Times-Italic" w:cs="Times-Italic"/>
          <w:i/>
          <w:iCs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can survive for extended periods in the</w:t>
      </w:r>
    </w:p>
    <w:p w:rsidR="001707CC" w:rsidRPr="00171B13" w:rsidRDefault="004B1806" w:rsidP="00CD704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32"/>
          <w:szCs w:val="32"/>
        </w:rPr>
      </w:pPr>
      <w:proofErr w:type="gramStart"/>
      <w:r w:rsidRPr="00171B13">
        <w:rPr>
          <w:rFonts w:ascii="Times-Roman" w:hAnsi="Times-Roman" w:cs="Times-Roman"/>
          <w:sz w:val="32"/>
          <w:szCs w:val="32"/>
        </w:rPr>
        <w:t>environment</w:t>
      </w:r>
      <w:proofErr w:type="gramEnd"/>
      <w:r w:rsidRPr="00171B13">
        <w:rPr>
          <w:rFonts w:ascii="Times-Roman" w:hAnsi="Times-Roman" w:cs="Times-Roman"/>
          <w:sz w:val="32"/>
          <w:szCs w:val="32"/>
        </w:rPr>
        <w:t>. It can survive for up to 1500 days in certain types of soil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and can persist and multiply in water, being isolated from surface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water of canals and lakes as well as estuarine</w:t>
      </w:r>
      <w:r w:rsidR="00CD7048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environments. The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bacterium has also been isolated from raw and treated sewage. The formation of biofilm,</w:t>
      </w:r>
      <w:r w:rsidR="008E577D" w:rsidRPr="00171B13">
        <w:rPr>
          <w:rFonts w:ascii="Times-Roman" w:hAnsi="Times-Roman" w:cs="Times-Roman"/>
          <w:sz w:val="32"/>
          <w:szCs w:val="32"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>which is strain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Pr="00171B13">
        <w:rPr>
          <w:rFonts w:ascii="Times-Roman" w:hAnsi="Times-Roman" w:cs="Times-Roman"/>
          <w:sz w:val="32"/>
          <w:szCs w:val="32"/>
        </w:rPr>
        <w:t xml:space="preserve">dependent, may be important in this </w:t>
      </w:r>
      <w:proofErr w:type="gramStart"/>
      <w:r w:rsidRPr="00171B13">
        <w:rPr>
          <w:rFonts w:ascii="Times-Roman" w:hAnsi="Times-Roman" w:cs="Times-Roman"/>
          <w:sz w:val="32"/>
          <w:szCs w:val="32"/>
        </w:rPr>
        <w:t xml:space="preserve">respect 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>.</w:t>
      </w:r>
      <w:proofErr w:type="gramEnd"/>
      <w:r w:rsidR="008E577D" w:rsidRPr="00171B13">
        <w:rPr>
          <w:rFonts w:ascii="Times-Roman" w:hAnsi="Times-Roman" w:cs="Times-Roman"/>
          <w:sz w:val="32"/>
          <w:szCs w:val="32"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Following the recognition that </w:t>
      </w:r>
      <w:proofErr w:type="spellStart"/>
      <w:r w:rsidR="003525C8" w:rsidRPr="00171B13">
        <w:rPr>
          <w:rFonts w:ascii="Times-Roman" w:hAnsi="Times-Roman" w:cs="Times-Roman"/>
          <w:sz w:val="32"/>
          <w:szCs w:val="32"/>
        </w:rPr>
        <w:t>listeriosis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 xml:space="preserve"> is frequently a food-borne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>infection there have been few foods which have not escaped the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attention of microbiologists seeking </w:t>
      </w:r>
      <w:r w:rsidR="003525C8"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="003525C8" w:rsidRPr="00171B13">
        <w:rPr>
          <w:rFonts w:ascii="Times-Italic" w:hAnsi="Times-Italic" w:cs="Times-Italic"/>
          <w:i/>
          <w:iCs/>
          <w:sz w:val="32"/>
          <w:szCs w:val="32"/>
        </w:rPr>
        <w:t>monocytogenes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>. Studies to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determine the extent of </w:t>
      </w:r>
      <w:proofErr w:type="spellStart"/>
      <w:r w:rsidR="003525C8" w:rsidRPr="00171B13">
        <w:rPr>
          <w:rFonts w:ascii="Times-Roman" w:hAnsi="Times-Roman" w:cs="Times-Roman"/>
          <w:sz w:val="32"/>
          <w:szCs w:val="32"/>
        </w:rPr>
        <w:t>listerial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 xml:space="preserve"> contamination of a given food product</w:t>
      </w:r>
      <w:r w:rsidR="00CD7048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>often yield different results. The reasons for this are complex and</w:t>
      </w:r>
      <w:r w:rsidR="00CD7048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>reflect, at least in part, geographic, seasonal and other differences</w:t>
      </w:r>
      <w:r w:rsidR="00CD7048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as well as variations in isolation protocols. Carriage of </w:t>
      </w:r>
      <w:r w:rsidR="003525C8" w:rsidRPr="00171B13">
        <w:rPr>
          <w:rFonts w:ascii="Times-Italic" w:hAnsi="Times-Italic" w:cs="Times-Italic"/>
          <w:i/>
          <w:iCs/>
          <w:sz w:val="32"/>
          <w:szCs w:val="32"/>
        </w:rPr>
        <w:t xml:space="preserve">Listeria </w:t>
      </w:r>
      <w:r w:rsidR="003525C8" w:rsidRPr="00171B13">
        <w:rPr>
          <w:rFonts w:ascii="Times-Roman" w:hAnsi="Times-Roman" w:cs="Times-Roman"/>
          <w:sz w:val="32"/>
          <w:szCs w:val="32"/>
        </w:rPr>
        <w:t>spp. in the vagina has been investigated but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does not seem to occur outside the setting of recent </w:t>
      </w:r>
      <w:proofErr w:type="spellStart"/>
      <w:r w:rsidR="003525C8" w:rsidRPr="00171B13">
        <w:rPr>
          <w:rFonts w:ascii="Times-Roman" w:hAnsi="Times-Roman" w:cs="Times-Roman"/>
          <w:sz w:val="32"/>
          <w:szCs w:val="32"/>
        </w:rPr>
        <w:t>maternofetal</w:t>
      </w:r>
      <w:proofErr w:type="spellEnd"/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proofErr w:type="spellStart"/>
      <w:proofErr w:type="gramStart"/>
      <w:r w:rsidR="003525C8" w:rsidRPr="00171B13">
        <w:rPr>
          <w:rFonts w:ascii="Times-Roman" w:hAnsi="Times-Roman" w:cs="Times-Roman"/>
          <w:sz w:val="32"/>
          <w:szCs w:val="32"/>
        </w:rPr>
        <w:t>listeriosis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 xml:space="preserve"> .</w:t>
      </w:r>
      <w:proofErr w:type="gramEnd"/>
      <w:r w:rsidR="003525C8" w:rsidRPr="00171B13">
        <w:rPr>
          <w:rFonts w:ascii="Times-Roman" w:hAnsi="Times-Roman" w:cs="Times-Roman"/>
          <w:sz w:val="32"/>
          <w:szCs w:val="32"/>
        </w:rPr>
        <w:t xml:space="preserve"> </w:t>
      </w:r>
      <w:proofErr w:type="gramStart"/>
      <w:r w:rsidR="003525C8" w:rsidRPr="00171B13">
        <w:rPr>
          <w:rFonts w:ascii="Times-Roman" w:hAnsi="Times-Roman" w:cs="Times-Roman"/>
          <w:sz w:val="32"/>
          <w:szCs w:val="32"/>
        </w:rPr>
        <w:t>as</w:t>
      </w:r>
      <w:proofErr w:type="gramEnd"/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well as a failure to </w:t>
      </w:r>
      <w:proofErr w:type="spellStart"/>
      <w:r w:rsidR="003525C8" w:rsidRPr="00171B13">
        <w:rPr>
          <w:rFonts w:ascii="Times-Roman" w:hAnsi="Times-Roman" w:cs="Times-Roman"/>
          <w:sz w:val="32"/>
          <w:szCs w:val="32"/>
        </w:rPr>
        <w:t>recognise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 xml:space="preserve"> that food-borne </w:t>
      </w:r>
      <w:proofErr w:type="spellStart"/>
      <w:r w:rsidR="003525C8" w:rsidRPr="00171B13">
        <w:rPr>
          <w:rFonts w:ascii="Times-Roman" w:hAnsi="Times-Roman" w:cs="Times-Roman"/>
          <w:sz w:val="32"/>
          <w:szCs w:val="32"/>
        </w:rPr>
        <w:t>listeriosis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 xml:space="preserve"> may manifest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>with a clinical picture of gastroenteritis similar to that of salmonellosis</w:t>
      </w:r>
      <w:r w:rsidR="00CD7048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or </w:t>
      </w:r>
      <w:proofErr w:type="spellStart"/>
      <w:r w:rsidR="003525C8" w:rsidRPr="00171B13">
        <w:rPr>
          <w:rFonts w:ascii="Times-Roman" w:hAnsi="Times-Roman" w:cs="Times-Roman"/>
          <w:sz w:val="32"/>
          <w:szCs w:val="32"/>
        </w:rPr>
        <w:t>campylobacteriosis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 xml:space="preserve"> . Person-to-person transmission outside the hospital setting has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>never been convincingly demonstrated, but nosocomial spread of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Italic" w:hAnsi="Times-Italic" w:cs="Times-Italic"/>
          <w:i/>
          <w:iCs/>
          <w:sz w:val="32"/>
          <w:szCs w:val="32"/>
        </w:rPr>
        <w:t xml:space="preserve">L. </w:t>
      </w:r>
      <w:proofErr w:type="spellStart"/>
      <w:r w:rsidR="003525C8" w:rsidRPr="00171B13">
        <w:rPr>
          <w:rFonts w:ascii="Times-Italic" w:hAnsi="Times-Italic" w:cs="Times-Italic"/>
          <w:i/>
          <w:iCs/>
          <w:sz w:val="32"/>
          <w:szCs w:val="32"/>
        </w:rPr>
        <w:t>monocytogenes</w:t>
      </w:r>
      <w:proofErr w:type="spellEnd"/>
      <w:r w:rsidR="003525C8" w:rsidRPr="00171B13">
        <w:rPr>
          <w:rFonts w:ascii="Times-Italic" w:hAnsi="Times-Italic" w:cs="Times-Italic"/>
          <w:i/>
          <w:iCs/>
          <w:sz w:val="32"/>
          <w:szCs w:val="32"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is well </w:t>
      </w:r>
      <w:proofErr w:type="spellStart"/>
      <w:r w:rsidR="003525C8" w:rsidRPr="00171B13">
        <w:rPr>
          <w:rFonts w:ascii="Times-Roman" w:hAnsi="Times-Roman" w:cs="Times-Roman"/>
          <w:sz w:val="32"/>
          <w:szCs w:val="32"/>
        </w:rPr>
        <w:t>recognised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>, particularly on neonatal units,</w:t>
      </w:r>
      <w:r w:rsidR="008E577D" w:rsidRPr="00171B13">
        <w:rPr>
          <w:rFonts w:ascii="Times-Roman" w:hAnsi="Times-Roman" w:cs="Times-Roman"/>
          <w:sz w:val="32"/>
          <w:szCs w:val="32"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Zoonotic cases of </w:t>
      </w:r>
      <w:proofErr w:type="spellStart"/>
      <w:r w:rsidR="003525C8" w:rsidRPr="00171B13">
        <w:rPr>
          <w:rFonts w:ascii="Times-Roman" w:hAnsi="Times-Roman" w:cs="Times-Roman"/>
          <w:sz w:val="32"/>
          <w:szCs w:val="32"/>
        </w:rPr>
        <w:t>listeriosis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 xml:space="preserve"> are uncommon and have presentations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 xml:space="preserve">which differ from the more commonly </w:t>
      </w:r>
      <w:proofErr w:type="spellStart"/>
      <w:r w:rsidR="003525C8" w:rsidRPr="00171B13">
        <w:rPr>
          <w:rFonts w:ascii="Times-Roman" w:hAnsi="Times-Roman" w:cs="Times-Roman"/>
          <w:sz w:val="32"/>
          <w:szCs w:val="32"/>
        </w:rPr>
        <w:t>recognised</w:t>
      </w:r>
      <w:proofErr w:type="spellEnd"/>
      <w:r w:rsidR="003525C8" w:rsidRPr="00171B13">
        <w:rPr>
          <w:rFonts w:ascii="Times-Roman" w:hAnsi="Times-Roman" w:cs="Times-Roman"/>
          <w:sz w:val="32"/>
          <w:szCs w:val="32"/>
        </w:rPr>
        <w:t xml:space="preserve"> syndromes and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3525C8" w:rsidRPr="00171B13">
        <w:rPr>
          <w:rFonts w:ascii="Times-Roman" w:hAnsi="Times-Roman" w:cs="Times-Roman"/>
          <w:sz w:val="32"/>
          <w:szCs w:val="32"/>
        </w:rPr>
        <w:t>include cutaneous lesions, conjunctivitis and pneumonia.</w:t>
      </w:r>
      <w:r w:rsidR="001707CC" w:rsidRPr="00171B13">
        <w:rPr>
          <w:rFonts w:ascii="Times-Roman" w:hAnsi="Times-Roman" w:cs="Times-Roman"/>
          <w:sz w:val="32"/>
          <w:szCs w:val="32"/>
        </w:rPr>
        <w:t xml:space="preserve"> </w:t>
      </w:r>
      <w:proofErr w:type="gramStart"/>
      <w:r w:rsidR="001707CC" w:rsidRPr="00171B13">
        <w:rPr>
          <w:rFonts w:ascii="Times-Roman" w:hAnsi="Times-Roman" w:cs="Times-Roman"/>
          <w:sz w:val="32"/>
          <w:szCs w:val="32"/>
        </w:rPr>
        <w:t>the</w:t>
      </w:r>
      <w:proofErr w:type="gramEnd"/>
      <w:r w:rsidR="001707CC" w:rsidRPr="00171B13">
        <w:rPr>
          <w:rFonts w:ascii="Times-Roman" w:hAnsi="Times-Roman" w:cs="Times-Roman"/>
          <w:sz w:val="32"/>
          <w:szCs w:val="32"/>
        </w:rPr>
        <w:t xml:space="preserve"> pregnant woman may be asymptomatic with the first indication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1707CC" w:rsidRPr="00171B13">
        <w:rPr>
          <w:rFonts w:ascii="Times-Roman" w:hAnsi="Times-Roman" w:cs="Times-Roman"/>
          <w:sz w:val="32"/>
          <w:szCs w:val="32"/>
        </w:rPr>
        <w:t xml:space="preserve">of infection being the abortion or stillbirth of the </w:t>
      </w:r>
      <w:proofErr w:type="spellStart"/>
      <w:r w:rsidR="001707CC" w:rsidRPr="00171B13">
        <w:rPr>
          <w:rFonts w:ascii="Times-Roman" w:hAnsi="Times-Roman" w:cs="Times-Roman"/>
          <w:sz w:val="32"/>
          <w:szCs w:val="32"/>
        </w:rPr>
        <w:t>foetus</w:t>
      </w:r>
      <w:proofErr w:type="spellEnd"/>
      <w:r w:rsidR="001707CC" w:rsidRPr="00171B13">
        <w:rPr>
          <w:rFonts w:ascii="Times-Roman" w:hAnsi="Times-Roman" w:cs="Times-Roman"/>
          <w:sz w:val="32"/>
          <w:szCs w:val="32"/>
        </w:rPr>
        <w:t xml:space="preserve"> or neonatal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proofErr w:type="spellStart"/>
      <w:r w:rsidR="001707CC" w:rsidRPr="00171B13">
        <w:rPr>
          <w:rFonts w:ascii="Times-Roman" w:hAnsi="Times-Roman" w:cs="Times-Roman"/>
          <w:sz w:val="32"/>
          <w:szCs w:val="32"/>
        </w:rPr>
        <w:t>listeriosis</w:t>
      </w:r>
      <w:proofErr w:type="spellEnd"/>
      <w:r w:rsidR="001707CC" w:rsidRPr="00171B13">
        <w:rPr>
          <w:rFonts w:ascii="Times-Roman" w:hAnsi="Times-Roman" w:cs="Times-Roman"/>
          <w:sz w:val="32"/>
          <w:szCs w:val="32"/>
        </w:rPr>
        <w:t xml:space="preserve"> in a live-born child. </w:t>
      </w:r>
      <w:proofErr w:type="spellStart"/>
      <w:r w:rsidR="001707CC" w:rsidRPr="00171B13">
        <w:rPr>
          <w:rFonts w:ascii="Times-Roman" w:hAnsi="Times-Roman" w:cs="Times-Roman"/>
          <w:sz w:val="32"/>
          <w:szCs w:val="32"/>
        </w:rPr>
        <w:t>Listeriosis</w:t>
      </w:r>
      <w:proofErr w:type="spellEnd"/>
      <w:r w:rsidR="001707CC" w:rsidRPr="00171B13">
        <w:rPr>
          <w:rFonts w:ascii="Times-Roman" w:hAnsi="Times-Roman" w:cs="Times-Roman"/>
          <w:sz w:val="32"/>
          <w:szCs w:val="32"/>
        </w:rPr>
        <w:t xml:space="preserve"> in adults is frequently seen against a </w:t>
      </w:r>
      <w:r w:rsidR="001707CC" w:rsidRPr="00171B13">
        <w:rPr>
          <w:rFonts w:ascii="Times-Roman" w:hAnsi="Times-Roman" w:cs="Times-Roman"/>
          <w:sz w:val="32"/>
          <w:szCs w:val="32"/>
        </w:rPr>
        <w:lastRenderedPageBreak/>
        <w:t>background of immune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1707CC" w:rsidRPr="00171B13">
        <w:rPr>
          <w:rFonts w:ascii="Times-Roman" w:hAnsi="Times-Roman" w:cs="Times-Roman"/>
          <w:sz w:val="32"/>
          <w:szCs w:val="32"/>
        </w:rPr>
        <w:t xml:space="preserve">suppression, particularly where cell-mediated immunity is affected. </w:t>
      </w:r>
      <w:proofErr w:type="spellStart"/>
      <w:proofErr w:type="gramStart"/>
      <w:r w:rsidR="001707CC" w:rsidRPr="00171B13">
        <w:rPr>
          <w:rFonts w:ascii="Times-Roman" w:hAnsi="Times-Roman" w:cs="Times-Roman"/>
          <w:sz w:val="32"/>
          <w:szCs w:val="32"/>
        </w:rPr>
        <w:t>listeriosis</w:t>
      </w:r>
      <w:proofErr w:type="spellEnd"/>
      <w:proofErr w:type="gramEnd"/>
      <w:r w:rsidR="001707CC" w:rsidRPr="00171B13">
        <w:rPr>
          <w:rFonts w:ascii="Times-Roman" w:hAnsi="Times-Roman" w:cs="Times-Roman"/>
          <w:sz w:val="32"/>
          <w:szCs w:val="32"/>
        </w:rPr>
        <w:t xml:space="preserve"> is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1707CC" w:rsidRPr="00171B13">
        <w:rPr>
          <w:rFonts w:ascii="Times-Roman" w:hAnsi="Times-Roman" w:cs="Times-Roman"/>
          <w:sz w:val="32"/>
          <w:szCs w:val="32"/>
        </w:rPr>
        <w:t>150–300 times more common in HIV-positive patients than in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1707CC" w:rsidRPr="00171B13">
        <w:rPr>
          <w:rFonts w:ascii="Times-Roman" w:hAnsi="Times-Roman" w:cs="Times-Roman"/>
          <w:sz w:val="32"/>
          <w:szCs w:val="32"/>
        </w:rPr>
        <w:t>matched control groups from the general population. Meningitis, with or without focal neurological signs, is the most common</w:t>
      </w:r>
      <w:r w:rsidR="008E577D" w:rsidRPr="00171B13">
        <w:rPr>
          <w:rFonts w:ascii="Times-Roman" w:hAnsi="Times-Roman" w:cs="Times-Roman" w:hint="cs"/>
          <w:sz w:val="32"/>
          <w:szCs w:val="32"/>
          <w:rtl/>
        </w:rPr>
        <w:t xml:space="preserve"> </w:t>
      </w:r>
      <w:r w:rsidR="001707CC" w:rsidRPr="00171B13">
        <w:rPr>
          <w:rFonts w:ascii="Times-Roman" w:hAnsi="Times-Roman" w:cs="Times-Roman"/>
          <w:sz w:val="32"/>
          <w:szCs w:val="32"/>
        </w:rPr>
        <w:t xml:space="preserve">form of CNS </w:t>
      </w:r>
      <w:proofErr w:type="spellStart"/>
      <w:r w:rsidR="001707CC" w:rsidRPr="00171B13">
        <w:rPr>
          <w:rFonts w:ascii="Times-Roman" w:hAnsi="Times-Roman" w:cs="Times-Roman"/>
          <w:sz w:val="32"/>
          <w:szCs w:val="32"/>
        </w:rPr>
        <w:t>listeriosis</w:t>
      </w:r>
      <w:proofErr w:type="spellEnd"/>
      <w:r w:rsidR="001707CC" w:rsidRPr="00171B13">
        <w:rPr>
          <w:rFonts w:ascii="Times-Roman" w:hAnsi="Times-Roman" w:cs="Times-Roman"/>
          <w:sz w:val="32"/>
          <w:szCs w:val="32"/>
        </w:rPr>
        <w:t>.</w:t>
      </w:r>
    </w:p>
    <w:p w:rsidR="004B1806" w:rsidRPr="004B1806" w:rsidRDefault="004B1806" w:rsidP="003525C8"/>
    <w:sectPr w:rsidR="004B1806" w:rsidRPr="004B1806" w:rsidSect="002D3C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806"/>
    <w:rsid w:val="00031F22"/>
    <w:rsid w:val="001707CC"/>
    <w:rsid w:val="00171B13"/>
    <w:rsid w:val="0027601D"/>
    <w:rsid w:val="002D3C64"/>
    <w:rsid w:val="003525C8"/>
    <w:rsid w:val="004B1806"/>
    <w:rsid w:val="00517312"/>
    <w:rsid w:val="0054305D"/>
    <w:rsid w:val="00546D4C"/>
    <w:rsid w:val="006065B1"/>
    <w:rsid w:val="00624099"/>
    <w:rsid w:val="006F1CF4"/>
    <w:rsid w:val="00703924"/>
    <w:rsid w:val="00770002"/>
    <w:rsid w:val="007707CE"/>
    <w:rsid w:val="008E577D"/>
    <w:rsid w:val="00B208B6"/>
    <w:rsid w:val="00B576C2"/>
    <w:rsid w:val="00B73DC8"/>
    <w:rsid w:val="00C83794"/>
    <w:rsid w:val="00CC103F"/>
    <w:rsid w:val="00CC5B59"/>
    <w:rsid w:val="00CD3C11"/>
    <w:rsid w:val="00CD7048"/>
    <w:rsid w:val="00D512E8"/>
    <w:rsid w:val="00DF7CEB"/>
    <w:rsid w:val="00ED0816"/>
    <w:rsid w:val="00F56283"/>
    <w:rsid w:val="00F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mphiphi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Endotoxin" TargetMode="External"/><Relationship Id="rId5" Type="http://schemas.openxmlformats.org/officeDocument/2006/relationships/hyperlink" Target="https://en.wikipedia.org/wiki/Lipopolysacchari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Khawlah</dc:creator>
  <cp:lastModifiedBy>Maher</cp:lastModifiedBy>
  <cp:revision>21</cp:revision>
  <dcterms:created xsi:type="dcterms:W3CDTF">2013-04-30T10:34:00Z</dcterms:created>
  <dcterms:modified xsi:type="dcterms:W3CDTF">2022-02-18T16:27:00Z</dcterms:modified>
</cp:coreProperties>
</file>