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BF" w:rsidRPr="009F4169" w:rsidRDefault="009F4169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F4169">
        <w:rPr>
          <w:rFonts w:asciiTheme="majorBidi" w:hAnsiTheme="majorBidi" w:cstheme="majorBidi"/>
          <w:sz w:val="28"/>
          <w:szCs w:val="28"/>
        </w:rPr>
        <w:t>Lec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F4169">
        <w:rPr>
          <w:rFonts w:asciiTheme="majorBidi" w:hAnsiTheme="majorBidi" w:cstheme="majorBidi"/>
          <w:sz w:val="28"/>
          <w:szCs w:val="28"/>
        </w:rPr>
        <w:t xml:space="preserve">2)                                              </w:t>
      </w:r>
      <w:proofErr w:type="spellStart"/>
      <w:r w:rsidRPr="009F4169">
        <w:rPr>
          <w:rFonts w:asciiTheme="majorBidi" w:hAnsiTheme="majorBidi" w:cstheme="majorBidi"/>
          <w:sz w:val="28"/>
          <w:szCs w:val="28"/>
        </w:rPr>
        <w:t>Immunotechnology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 xml:space="preserve">  </w:t>
      </w:r>
    </w:p>
    <w:p w:rsidR="009F4169" w:rsidRDefault="009F4169">
      <w:pPr>
        <w:rPr>
          <w:rFonts w:asciiTheme="majorBidi" w:hAnsiTheme="majorBidi" w:cstheme="majorBidi"/>
          <w:sz w:val="28"/>
          <w:szCs w:val="28"/>
          <w:rtl/>
        </w:rPr>
      </w:pPr>
      <w:r w:rsidRPr="009F4169">
        <w:rPr>
          <w:rFonts w:asciiTheme="majorBidi" w:hAnsiTheme="majorBidi" w:cstheme="majorBidi"/>
          <w:sz w:val="28"/>
          <w:szCs w:val="28"/>
        </w:rPr>
        <w:t>Prof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r w:rsidRPr="009F4169">
        <w:rPr>
          <w:rFonts w:asciiTheme="majorBidi" w:hAnsiTheme="majorBidi" w:cstheme="majorBidi"/>
          <w:sz w:val="28"/>
          <w:szCs w:val="28"/>
        </w:rPr>
        <w:t>.Dr.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4169">
        <w:rPr>
          <w:rFonts w:asciiTheme="majorBidi" w:hAnsiTheme="majorBidi" w:cstheme="majorBidi"/>
          <w:sz w:val="28"/>
          <w:szCs w:val="28"/>
        </w:rPr>
        <w:t>Ekhlass</w:t>
      </w:r>
      <w:proofErr w:type="spellEnd"/>
      <w:r w:rsidRPr="009F4169">
        <w:rPr>
          <w:rFonts w:asciiTheme="majorBidi" w:hAnsiTheme="majorBidi" w:cstheme="majorBidi"/>
          <w:sz w:val="28"/>
          <w:szCs w:val="28"/>
        </w:rPr>
        <w:t xml:space="preserve"> </w:t>
      </w:r>
      <w:r w:rsidR="00CC2C41">
        <w:rPr>
          <w:rFonts w:asciiTheme="majorBidi" w:hAnsiTheme="majorBidi" w:cstheme="majorBidi"/>
          <w:sz w:val="28"/>
          <w:szCs w:val="28"/>
        </w:rPr>
        <w:t xml:space="preserve"> </w:t>
      </w:r>
      <w:r w:rsidRPr="009F4169">
        <w:rPr>
          <w:rFonts w:asciiTheme="majorBidi" w:hAnsiTheme="majorBidi" w:cstheme="majorBidi"/>
          <w:sz w:val="28"/>
          <w:szCs w:val="28"/>
        </w:rPr>
        <w:t>N. Ali</w:t>
      </w:r>
    </w:p>
    <w:p w:rsidR="00567FFA" w:rsidRDefault="00567FFA" w:rsidP="00567FFA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000000"/>
        </w:rPr>
      </w:pPr>
      <w:r>
        <w:rPr>
          <w:rFonts w:ascii="Univers-Bold" w:hAnsi="Univers-Bold" w:cs="Univers-Bold"/>
          <w:b/>
          <w:bCs/>
          <w:color w:val="000000"/>
        </w:rPr>
        <w:t>IMMUNOFIXATION ELECTROPHORESIS</w:t>
      </w:r>
    </w:p>
    <w:p w:rsidR="00567FFA" w:rsidRPr="006C7A7D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proofErr w:type="spellStart"/>
      <w:r w:rsidRPr="006C7A7D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Immunofixation</w:t>
      </w:r>
      <w:proofErr w:type="spellEnd"/>
      <w:r w:rsidRPr="006C7A7D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electrophoresis (IFE),</w:t>
      </w:r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or simply </w:t>
      </w:r>
      <w:proofErr w:type="spellStart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immunofixation</w:t>
      </w:r>
      <w:proofErr w:type="gramStart"/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has</w:t>
      </w:r>
      <w:proofErr w:type="spellEnd"/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replaced IEP in the </w:t>
      </w:r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evaluation of monoclonal</w:t>
      </w:r>
      <w:r w:rsidR="00E022CE"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gammopathies</w:t>
      </w:r>
      <w:proofErr w:type="spell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because of its rapidity and ease of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interpretation.IFE</w:t>
      </w:r>
      <w:proofErr w:type="spell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is a two-stage procedure,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agarose</w:t>
      </w:r>
      <w:proofErr w:type="spell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gel protein electrophoresis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and</w:t>
      </w:r>
      <w:proofErr w:type="gram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immunoprecipitation</w:t>
      </w:r>
      <w:proofErr w:type="spell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 The test specimen may be</w:t>
      </w:r>
      <w:r w:rsidR="00E022CE"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serum, urine, cerebrospinal fluid (CSF), or other body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fluids.The</w:t>
      </w:r>
      <w:proofErr w:type="spellEnd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primary use of IFE in clinical laboratories is for the characterization</w:t>
      </w:r>
      <w:r w:rsidR="00E022CE"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of monoclonal </w:t>
      </w:r>
      <w:proofErr w:type="spellStart"/>
      <w:r w:rsidRPr="006C7A7D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immunoglobulins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Clinical Applications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Although IFE was first described in 1964, it was introduced as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a procedure for the study of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immunoglobulins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in 1976. IEP and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IFE are complementary techniques best used in the workup of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a patient with a suspected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gammopathy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>. The laboratory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protocol for ruling out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gammopathy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should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include high-resolution electrophoresis, IEP of both serum and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urine, and a quantitative immunoglobulin assay. These procedures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are usually sufficient to detect and characterize monoclonal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proteins with a serum concentration of 1 g/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dL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or more.</w:t>
      </w:r>
    </w:p>
    <w:p w:rsidR="00567FFA" w:rsidRPr="001A63DF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following three protein variables can be determined</w:t>
      </w:r>
      <w:r w:rsidR="00E022CE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using IFE:</w:t>
      </w:r>
    </w:p>
    <w:p w:rsidR="00567FFA" w:rsidRPr="001A63DF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1. Antigenic specificity</w:t>
      </w:r>
    </w:p>
    <w:p w:rsidR="00567FFA" w:rsidRPr="001A63DF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2. Electrophoretic mobility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3. Quantity or ratio of test and control proteins</w:t>
      </w:r>
    </w:p>
    <w:p w:rsidR="00567FFA" w:rsidRPr="00D96AA5" w:rsidRDefault="00567FFA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color w:val="000000"/>
          <w:sz w:val="28"/>
          <w:szCs w:val="28"/>
        </w:rPr>
        <w:t>COMPARISON OF TECHNIQUES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D96AA5">
        <w:rPr>
          <w:rFonts w:asciiTheme="majorBidi" w:hAnsiTheme="majorBidi" w:cstheme="majorBidi"/>
          <w:color w:val="000000"/>
          <w:sz w:val="28"/>
          <w:szCs w:val="28"/>
        </w:rPr>
        <w:t>IEP is technically simpler and less subject to antigen excess phenomenon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than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IFE. If high concentrations of monoclonal protein</w:t>
      </w:r>
      <w:r w:rsidR="00E022CE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with IFE give no visible reactions, IEP is considered to be</w:t>
      </w:r>
      <w:r w:rsidR="00E022CE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a better technique for typing large monoclonal </w:t>
      </w:r>
      <w:proofErr w:type="spellStart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gammopathies</w:t>
      </w:r>
      <w:proofErr w:type="spellEnd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Immunofixation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electrophoresis can be optimized to give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greater sensitivity and resolution than IEP. IFE should be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reserved for anomalous proteins, which are difficult to characterize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by IEP. These include small bands, such as those exhibited</w:t>
      </w:r>
    </w:p>
    <w:p w:rsidR="00567FFA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color w:val="000000"/>
          <w:sz w:val="28"/>
          <w:szCs w:val="28"/>
        </w:rPr>
        <w:t>in</w:t>
      </w:r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the early stages of monoclonal </w:t>
      </w:r>
      <w:proofErr w:type="spellStart"/>
      <w:r w:rsidRPr="00D96AA5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or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L-chain disease, and any multiple, closely spaced bands. The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results of IFE are easier to interpret than those of IEP because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interpretation is based on examination of a precipitate pattern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4E5924" w:rsidRPr="00D96AA5" w:rsidRDefault="00567FFA" w:rsidP="00E02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69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color w:val="000000"/>
          <w:sz w:val="28"/>
          <w:szCs w:val="28"/>
        </w:rPr>
        <w:t>directly</w:t>
      </w:r>
      <w:proofErr w:type="gramEnd"/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 analogous to routine electrophoresis; IFE does not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depend on detecting slight deviations in the shape of a precipitin</w:t>
      </w:r>
      <w:r w:rsidR="00E022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>arc (</w:t>
      </w:r>
      <w:r w:rsidRPr="00D96AA5">
        <w:rPr>
          <w:rFonts w:asciiTheme="majorBidi" w:hAnsiTheme="majorBidi" w:cstheme="majorBidi"/>
          <w:color w:val="000069"/>
          <w:sz w:val="28"/>
          <w:szCs w:val="28"/>
        </w:rPr>
        <w:t xml:space="preserve">Fig. </w:t>
      </w:r>
      <w:r w:rsidR="00E022CE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D96AA5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="004E5924" w:rsidRPr="00D96AA5">
        <w:rPr>
          <w:rFonts w:asciiTheme="majorBidi" w:hAnsiTheme="majorBidi" w:cstheme="majorBidi"/>
          <w:color w:val="000069"/>
          <w:sz w:val="28"/>
          <w:szCs w:val="28"/>
        </w:rPr>
        <w:t xml:space="preserve">Table </w:t>
      </w:r>
      <w:r w:rsidR="00E022CE">
        <w:rPr>
          <w:rFonts w:asciiTheme="majorBidi" w:hAnsiTheme="majorBidi" w:cstheme="majorBidi"/>
          <w:color w:val="000069"/>
          <w:sz w:val="28"/>
          <w:szCs w:val="28"/>
        </w:rPr>
        <w:t>1).</w:t>
      </w:r>
    </w:p>
    <w:p w:rsidR="004E5924" w:rsidRPr="00D96AA5" w:rsidRDefault="004E5924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69"/>
          <w:sz w:val="28"/>
          <w:szCs w:val="28"/>
        </w:rPr>
      </w:pPr>
      <w:r w:rsidRPr="00D96AA5">
        <w:rPr>
          <w:rFonts w:asciiTheme="majorBidi" w:hAnsiTheme="majorBidi" w:cstheme="majorBidi"/>
          <w:color w:val="000069"/>
          <w:sz w:val="28"/>
          <w:szCs w:val="28"/>
        </w:rPr>
        <w:lastRenderedPageBreak/>
        <w:t>Table1:</w:t>
      </w:r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Comparison of </w:t>
      </w:r>
      <w:proofErr w:type="spellStart"/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Immunoelectrophoresis</w:t>
      </w:r>
      <w:proofErr w:type="spellEnd"/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and </w:t>
      </w:r>
      <w:proofErr w:type="spellStart"/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Immunofixation</w:t>
      </w:r>
      <w:proofErr w:type="spellEnd"/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 w:rsidRPr="001A63D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Electrophoresis</w:t>
      </w:r>
      <w:r w:rsidRPr="001A63DF">
        <w:rPr>
          <w:rFonts w:asciiTheme="majorBidi" w:hAnsiTheme="majorBidi" w:cstheme="majorBidi"/>
          <w:color w:val="000069"/>
          <w:sz w:val="28"/>
          <w:szCs w:val="28"/>
          <w:highlight w:val="yellow"/>
        </w:rPr>
        <w:t xml:space="preserve"> .</w:t>
      </w:r>
      <w:proofErr w:type="gramEnd"/>
    </w:p>
    <w:p w:rsidR="00CC2ED7" w:rsidRPr="00D96AA5" w:rsidRDefault="004E5924" w:rsidP="00D96AA5">
      <w:pPr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4781A5" wp14:editId="16455E33">
            <wp:extent cx="3651250" cy="1468120"/>
            <wp:effectExtent l="0" t="0" r="6350" b="0"/>
            <wp:docPr id="1" name="Picture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24" w:rsidRPr="00D96AA5" w:rsidRDefault="00CC2ED7" w:rsidP="00D96AA5">
      <w:pPr>
        <w:rPr>
          <w:rFonts w:asciiTheme="majorBidi" w:hAnsiTheme="majorBidi" w:cstheme="majorBidi"/>
          <w:sz w:val="28"/>
          <w:szCs w:val="28"/>
        </w:rPr>
      </w:pPr>
      <w:r w:rsidRPr="00D96AA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E3B9A66" wp14:editId="4F9F2D05">
            <wp:extent cx="5943600" cy="3943380"/>
            <wp:effectExtent l="0" t="0" r="0" b="0"/>
            <wp:docPr id="2" name="Picture 2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D7" w:rsidRPr="00D96AA5" w:rsidRDefault="00CC2ED7" w:rsidP="00D96AA5">
      <w:pPr>
        <w:rPr>
          <w:rFonts w:asciiTheme="majorBidi" w:hAnsiTheme="majorBidi" w:cstheme="majorBidi"/>
          <w:sz w:val="28"/>
          <w:szCs w:val="28"/>
        </w:rPr>
      </w:pPr>
    </w:p>
    <w:p w:rsidR="00CC2ED7" w:rsidRPr="00B3412C" w:rsidRDefault="00CC2ED7" w:rsidP="00B341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</w:rPr>
      </w:pPr>
      <w:r w:rsidRPr="00B3412C">
        <w:rPr>
          <w:rFonts w:asciiTheme="majorBidi" w:hAnsiTheme="majorBidi" w:cstheme="majorBidi"/>
        </w:rPr>
        <w:t>Fig1:</w:t>
      </w:r>
      <w:r w:rsidRPr="00B3412C">
        <w:rPr>
          <w:rFonts w:asciiTheme="majorBidi" w:hAnsiTheme="majorBidi" w:cstheme="majorBidi"/>
          <w:b/>
          <w:bCs/>
        </w:rPr>
        <w:t xml:space="preserve"> Comparison of </w:t>
      </w:r>
      <w:proofErr w:type="spellStart"/>
      <w:r w:rsidRPr="00B3412C">
        <w:rPr>
          <w:rFonts w:asciiTheme="majorBidi" w:hAnsiTheme="majorBidi" w:cstheme="majorBidi"/>
          <w:b/>
          <w:bCs/>
        </w:rPr>
        <w:t>immunofixation</w:t>
      </w:r>
      <w:proofErr w:type="spellEnd"/>
      <w:r w:rsidRPr="00B3412C">
        <w:rPr>
          <w:rFonts w:asciiTheme="majorBidi" w:hAnsiTheme="majorBidi" w:cstheme="majorBidi"/>
          <w:b/>
          <w:bCs/>
        </w:rPr>
        <w:t xml:space="preserve"> electrophoresis (IFE) and </w:t>
      </w:r>
      <w:proofErr w:type="spellStart"/>
      <w:r w:rsidRPr="00B3412C">
        <w:rPr>
          <w:rFonts w:asciiTheme="majorBidi" w:hAnsiTheme="majorBidi" w:cstheme="majorBidi"/>
          <w:b/>
          <w:bCs/>
        </w:rPr>
        <w:t>immunoelectrophoresis</w:t>
      </w:r>
      <w:proofErr w:type="spellEnd"/>
      <w:r w:rsidRPr="00B3412C">
        <w:rPr>
          <w:rFonts w:asciiTheme="majorBidi" w:hAnsiTheme="majorBidi" w:cstheme="majorBidi"/>
          <w:b/>
          <w:bCs/>
        </w:rPr>
        <w:t xml:space="preserve"> (IEP) for two patients with monoclonal </w:t>
      </w:r>
      <w:proofErr w:type="spellStart"/>
      <w:r w:rsidR="00B3412C" w:rsidRPr="00B3412C">
        <w:rPr>
          <w:rFonts w:asciiTheme="majorBidi" w:hAnsiTheme="majorBidi" w:cstheme="majorBidi"/>
          <w:b/>
          <w:bCs/>
        </w:rPr>
        <w:t>g</w:t>
      </w:r>
      <w:r w:rsidRPr="00B3412C">
        <w:rPr>
          <w:rFonts w:asciiTheme="majorBidi" w:hAnsiTheme="majorBidi" w:cstheme="majorBidi"/>
          <w:b/>
          <w:bCs/>
        </w:rPr>
        <w:t>ammopathies</w:t>
      </w:r>
      <w:proofErr w:type="spellEnd"/>
      <w:r w:rsidRPr="00B3412C">
        <w:rPr>
          <w:rFonts w:asciiTheme="majorBidi" w:hAnsiTheme="majorBidi" w:cstheme="majorBidi"/>
          <w:b/>
          <w:bCs/>
        </w:rPr>
        <w:t>.</w:t>
      </w:r>
    </w:p>
    <w:p w:rsidR="00CC2ED7" w:rsidRPr="00D96AA5" w:rsidRDefault="00CC2ED7" w:rsidP="007E7D1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A, </w:t>
      </w:r>
      <w:r w:rsidRPr="00D96AA5">
        <w:rPr>
          <w:rFonts w:asciiTheme="majorBidi" w:hAnsiTheme="majorBidi" w:cstheme="majorBidi"/>
          <w:sz w:val="28"/>
          <w:szCs w:val="28"/>
        </w:rPr>
        <w:t xml:space="preserve">Patient specimen with an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(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>) monoclonal protein, as identified by IFE.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Note the position of the monoclonal protein </w:t>
      </w:r>
      <w:r w:rsidRPr="00D96AA5">
        <w:rPr>
          <w:rFonts w:asciiTheme="majorBidi" w:hAnsiTheme="majorBidi" w:cstheme="majorBidi"/>
          <w:i/>
          <w:iCs/>
          <w:sz w:val="28"/>
          <w:szCs w:val="28"/>
        </w:rPr>
        <w:t xml:space="preserve">(arrow). </w:t>
      </w:r>
      <w:r w:rsidRPr="00D96AA5">
        <w:rPr>
          <w:rFonts w:asciiTheme="majorBidi" w:hAnsiTheme="majorBidi" w:cstheme="majorBidi"/>
          <w:sz w:val="28"/>
          <w:szCs w:val="28"/>
        </w:rPr>
        <w:t>After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>electrophoresis, each track except serum protein electrophoresis (SPE) is reacted with its respective antiserum; then, all tracks are stained to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visualize the respective protein bands.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G, A, and M (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IgA,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>); kappa (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>); and lambda (</w:t>
      </w:r>
      <w:r w:rsidRPr="00D96AA5">
        <w:rPr>
          <w:rFonts w:asciiTheme="majorBidi" w:eastAsia="TnQ" w:hAnsiTheme="majorBidi" w:cstheme="majorBidi"/>
          <w:sz w:val="28"/>
          <w:szCs w:val="28"/>
        </w:rPr>
        <w:t>λ</w:t>
      </w:r>
      <w:r w:rsidRPr="00D96AA5">
        <w:rPr>
          <w:rFonts w:asciiTheme="majorBidi" w:hAnsiTheme="majorBidi" w:cstheme="majorBidi"/>
          <w:sz w:val="28"/>
          <w:szCs w:val="28"/>
        </w:rPr>
        <w:t xml:space="preserve">) </w:t>
      </w:r>
      <w:r w:rsidRPr="00D96AA5">
        <w:rPr>
          <w:rFonts w:asciiTheme="majorBidi" w:hAnsiTheme="majorBidi" w:cstheme="majorBidi"/>
          <w:sz w:val="28"/>
          <w:szCs w:val="28"/>
        </w:rPr>
        <w:lastRenderedPageBreak/>
        <w:t>indicate antiserum used on each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track. </w:t>
      </w:r>
      <w:proofErr w:type="gramStart"/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B, </w:t>
      </w:r>
      <w:r w:rsidRPr="00D96AA5">
        <w:rPr>
          <w:rFonts w:asciiTheme="majorBidi" w:hAnsiTheme="majorBidi" w:cstheme="majorBidi"/>
          <w:sz w:val="28"/>
          <w:szCs w:val="28"/>
        </w:rPr>
        <w:t xml:space="preserve">Same specimen as in </w:t>
      </w:r>
      <w:r w:rsidRPr="00D96AA5">
        <w:rPr>
          <w:rFonts w:asciiTheme="majorBidi" w:hAnsiTheme="majorBidi" w:cstheme="majorBidi"/>
          <w:b/>
          <w:bCs/>
          <w:sz w:val="28"/>
          <w:szCs w:val="28"/>
        </w:rPr>
        <w:t xml:space="preserve">A, </w:t>
      </w:r>
      <w:r w:rsidRPr="00D96AA5">
        <w:rPr>
          <w:rFonts w:asciiTheme="majorBidi" w:hAnsiTheme="majorBidi" w:cstheme="majorBidi"/>
          <w:sz w:val="28"/>
          <w:szCs w:val="28"/>
        </w:rPr>
        <w:t>with proteins identified by IEP.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Note the position of the monoclonal protein </w:t>
      </w:r>
      <w:r w:rsidRPr="00D96AA5">
        <w:rPr>
          <w:rFonts w:asciiTheme="majorBidi" w:hAnsiTheme="majorBidi" w:cstheme="majorBidi"/>
          <w:i/>
          <w:iCs/>
          <w:sz w:val="28"/>
          <w:szCs w:val="28"/>
        </w:rPr>
        <w:t xml:space="preserve">(arrow). </w:t>
      </w:r>
      <w:r w:rsidRPr="00D96AA5">
        <w:rPr>
          <w:rFonts w:asciiTheme="majorBidi" w:hAnsiTheme="majorBidi" w:cstheme="majorBidi"/>
          <w:sz w:val="28"/>
          <w:szCs w:val="28"/>
        </w:rPr>
        <w:t>Normal control (C) and</w:t>
      </w:r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D96AA5">
        <w:rPr>
          <w:rFonts w:asciiTheme="majorBidi" w:hAnsiTheme="majorBidi" w:cstheme="majorBidi"/>
          <w:sz w:val="28"/>
          <w:szCs w:val="28"/>
        </w:rPr>
        <w:t xml:space="preserve">patient sera (S) are alternated. After electrophoresis, antiserum is added to each trough, as indicated by the labels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IgA,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</w:t>
      </w:r>
      <w:r w:rsidRPr="00D96AA5">
        <w:rPr>
          <w:rFonts w:asciiTheme="majorBidi" w:eastAsia="TnQ" w:hAnsiTheme="majorBidi" w:cstheme="majorBidi"/>
          <w:sz w:val="28"/>
          <w:szCs w:val="28"/>
        </w:rPr>
        <w:t>κ</w:t>
      </w:r>
      <w:r w:rsidRPr="00D96AA5">
        <w:rPr>
          <w:rFonts w:asciiTheme="majorBidi" w:hAnsiTheme="majorBidi" w:cstheme="majorBidi"/>
          <w:sz w:val="28"/>
          <w:szCs w:val="28"/>
        </w:rPr>
        <w:t xml:space="preserve">, and </w:t>
      </w:r>
      <w:r w:rsidRPr="00D96AA5">
        <w:rPr>
          <w:rFonts w:asciiTheme="majorBidi" w:eastAsia="TnQ" w:hAnsiTheme="majorBidi" w:cstheme="majorBidi"/>
          <w:sz w:val="28"/>
          <w:szCs w:val="28"/>
        </w:rPr>
        <w:t>λ</w:t>
      </w:r>
      <w:r w:rsidRPr="00D96AA5">
        <w:rPr>
          <w:rFonts w:asciiTheme="majorBidi" w:hAnsiTheme="majorBidi" w:cstheme="majorBidi"/>
          <w:sz w:val="28"/>
          <w:szCs w:val="28"/>
        </w:rPr>
        <w:t>. The</w:t>
      </w:r>
    </w:p>
    <w:p w:rsidR="00CC2ED7" w:rsidRPr="00D96AA5" w:rsidRDefault="00CC2ED7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96AA5">
        <w:rPr>
          <w:rFonts w:asciiTheme="majorBidi" w:hAnsiTheme="majorBidi" w:cstheme="majorBidi"/>
          <w:sz w:val="28"/>
          <w:szCs w:val="28"/>
        </w:rPr>
        <w:t>antisera</w:t>
      </w:r>
      <w:proofErr w:type="gramEnd"/>
      <w:r w:rsidRPr="00D96AA5">
        <w:rPr>
          <w:rFonts w:asciiTheme="majorBidi" w:hAnsiTheme="majorBidi" w:cstheme="majorBidi"/>
          <w:sz w:val="28"/>
          <w:szCs w:val="28"/>
        </w:rPr>
        <w:t xml:space="preserve"> react with separated proteins in the specimens to form precipitates in the shape of arcs. The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and </w:t>
      </w:r>
      <w:r w:rsidRPr="00D96AA5">
        <w:rPr>
          <w:rFonts w:asciiTheme="majorBidi" w:eastAsia="TnQ" w:hAnsiTheme="majorBidi" w:cstheme="majorBidi"/>
          <w:sz w:val="28"/>
          <w:szCs w:val="28"/>
        </w:rPr>
        <w:t xml:space="preserve">κ </w:t>
      </w:r>
      <w:r w:rsidRPr="00D96AA5">
        <w:rPr>
          <w:rFonts w:asciiTheme="majorBidi" w:hAnsiTheme="majorBidi" w:cstheme="majorBidi"/>
          <w:sz w:val="28"/>
          <w:szCs w:val="28"/>
        </w:rPr>
        <w:t>arcs are shorter and thicker than</w:t>
      </w:r>
    </w:p>
    <w:p w:rsidR="00CC2ED7" w:rsidRPr="007E7D1E" w:rsidRDefault="00CC2ED7" w:rsidP="007E7D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those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in the normal control, showing the presence of the </w:t>
      </w:r>
      <w:proofErr w:type="spellStart"/>
      <w:r w:rsidRPr="007E7D1E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7E7D1E">
        <w:rPr>
          <w:rFonts w:asciiTheme="majorBidi" w:hAnsiTheme="majorBidi" w:cstheme="majorBidi"/>
          <w:sz w:val="28"/>
          <w:szCs w:val="28"/>
        </w:rPr>
        <w:t xml:space="preserve"> (</w:t>
      </w:r>
      <w:r w:rsidRPr="007E7D1E">
        <w:rPr>
          <w:rFonts w:asciiTheme="majorBidi" w:eastAsia="TnQ" w:hAnsiTheme="majorBidi" w:cstheme="majorBidi"/>
          <w:sz w:val="28"/>
          <w:szCs w:val="28"/>
        </w:rPr>
        <w:t>κ</w:t>
      </w:r>
      <w:r w:rsidRPr="007E7D1E">
        <w:rPr>
          <w:rFonts w:asciiTheme="majorBidi" w:hAnsiTheme="majorBidi" w:cstheme="majorBidi"/>
          <w:sz w:val="28"/>
          <w:szCs w:val="28"/>
        </w:rPr>
        <w:t xml:space="preserve">) monoclonal protein. The concentrations of IgA, </w:t>
      </w:r>
      <w:proofErr w:type="spellStart"/>
      <w:r w:rsidRPr="007E7D1E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7E7D1E">
        <w:rPr>
          <w:rFonts w:asciiTheme="majorBidi" w:hAnsiTheme="majorBidi" w:cstheme="majorBidi"/>
          <w:sz w:val="28"/>
          <w:szCs w:val="28"/>
        </w:rPr>
        <w:t xml:space="preserve">, and </w:t>
      </w:r>
      <w:r w:rsidRPr="007E7D1E">
        <w:rPr>
          <w:rFonts w:asciiTheme="majorBidi" w:eastAsia="TnQ" w:hAnsiTheme="majorBidi" w:cstheme="majorBidi"/>
          <w:sz w:val="28"/>
          <w:szCs w:val="28"/>
        </w:rPr>
        <w:t xml:space="preserve">λ </w:t>
      </w:r>
      <w:r w:rsidRPr="007E7D1E">
        <w:rPr>
          <w:rFonts w:asciiTheme="majorBidi" w:hAnsiTheme="majorBidi" w:cstheme="majorBidi"/>
          <w:sz w:val="28"/>
          <w:szCs w:val="28"/>
        </w:rPr>
        <w:t>light chains also are</w:t>
      </w:r>
      <w:r w:rsidR="007E7D1E" w:rsidRP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 xml:space="preserve">reduced.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C, </w:t>
      </w:r>
      <w:r w:rsidRPr="007E7D1E">
        <w:rPr>
          <w:rFonts w:asciiTheme="majorBidi" w:hAnsiTheme="majorBidi" w:cstheme="majorBidi"/>
          <w:sz w:val="28"/>
          <w:szCs w:val="28"/>
        </w:rPr>
        <w:t>Patient specimen with an IgA (</w:t>
      </w:r>
      <w:r w:rsidRPr="007E7D1E">
        <w:rPr>
          <w:rFonts w:asciiTheme="majorBidi" w:eastAsia="TnQ" w:hAnsiTheme="majorBidi" w:cstheme="majorBidi"/>
          <w:sz w:val="28"/>
          <w:szCs w:val="28"/>
        </w:rPr>
        <w:t>λ</w:t>
      </w:r>
      <w:r w:rsidRPr="007E7D1E">
        <w:rPr>
          <w:rFonts w:asciiTheme="majorBidi" w:hAnsiTheme="majorBidi" w:cstheme="majorBidi"/>
          <w:sz w:val="28"/>
          <w:szCs w:val="28"/>
        </w:rPr>
        <w:t xml:space="preserve">) monoclonal protein identified by the IFE procedure, as described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A. D, </w:t>
      </w:r>
      <w:r w:rsidRPr="007E7D1E">
        <w:rPr>
          <w:rFonts w:asciiTheme="majorBidi" w:hAnsiTheme="majorBidi" w:cstheme="majorBidi"/>
          <w:sz w:val="28"/>
          <w:szCs w:val="28"/>
        </w:rPr>
        <w:t xml:space="preserve">Same specimen as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>C,</w:t>
      </w:r>
    </w:p>
    <w:p w:rsidR="00CC2ED7" w:rsidRPr="007E7D1E" w:rsidRDefault="00CC2ED7" w:rsidP="007E7D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proteins identified by IEP, as described in </w:t>
      </w:r>
      <w:r w:rsidRPr="007E7D1E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Pr="007E7D1E">
        <w:rPr>
          <w:rFonts w:asciiTheme="majorBidi" w:hAnsiTheme="majorBidi" w:cstheme="majorBidi"/>
          <w:sz w:val="28"/>
          <w:szCs w:val="28"/>
        </w:rPr>
        <w:t xml:space="preserve">The abnormal IgA and </w:t>
      </w:r>
      <w:r w:rsidRPr="007E7D1E">
        <w:rPr>
          <w:rFonts w:asciiTheme="majorBidi" w:eastAsia="TnQ" w:hAnsiTheme="majorBidi" w:cstheme="majorBidi"/>
          <w:sz w:val="28"/>
          <w:szCs w:val="28"/>
        </w:rPr>
        <w:t xml:space="preserve">λ </w:t>
      </w:r>
      <w:r w:rsidRPr="007E7D1E">
        <w:rPr>
          <w:rFonts w:asciiTheme="majorBidi" w:hAnsiTheme="majorBidi" w:cstheme="majorBidi"/>
          <w:sz w:val="28"/>
          <w:szCs w:val="28"/>
        </w:rPr>
        <w:t xml:space="preserve">arcs for the patient specimen indicate an elevated concentration of </w:t>
      </w:r>
      <w:proofErr w:type="spellStart"/>
      <w:proofErr w:type="gramStart"/>
      <w:r w:rsidRPr="007E7D1E">
        <w:rPr>
          <w:rFonts w:asciiTheme="majorBidi" w:hAnsiTheme="majorBidi" w:cstheme="majorBidi"/>
          <w:sz w:val="28"/>
          <w:szCs w:val="28"/>
        </w:rPr>
        <w:t>amonoclonal</w:t>
      </w:r>
      <w:proofErr w:type="spellEnd"/>
      <w:r w:rsidR="007E7D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 xml:space="preserve"> IgA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 xml:space="preserve"> (</w:t>
      </w:r>
      <w:r w:rsidRPr="007E7D1E">
        <w:rPr>
          <w:rFonts w:asciiTheme="majorBidi" w:eastAsia="TnQ" w:hAnsiTheme="majorBidi" w:cstheme="majorBidi"/>
          <w:sz w:val="28"/>
          <w:szCs w:val="28"/>
        </w:rPr>
        <w:t>λ</w:t>
      </w:r>
      <w:r w:rsidRPr="007E7D1E">
        <w:rPr>
          <w:rFonts w:asciiTheme="majorBidi" w:hAnsiTheme="majorBidi" w:cstheme="majorBidi"/>
          <w:sz w:val="28"/>
          <w:szCs w:val="28"/>
        </w:rPr>
        <w:t>) protein.</w:t>
      </w:r>
    </w:p>
    <w:p w:rsidR="00D1106E" w:rsidRDefault="00D1106E" w:rsidP="007E7D1E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FFFFFF"/>
          <w:sz w:val="18"/>
          <w:szCs w:val="18"/>
        </w:rPr>
      </w:pPr>
      <w:r>
        <w:rPr>
          <w:rFonts w:ascii="Univers-Bold" w:hAnsi="Univers-Bold" w:cs="Univers-Bold"/>
          <w:b/>
          <w:bCs/>
          <w:color w:val="FFFFFF"/>
          <w:sz w:val="18"/>
          <w:szCs w:val="18"/>
        </w:rPr>
        <w:t xml:space="preserve">Separation Techniques Used in </w:t>
      </w:r>
      <w:proofErr w:type="spellStart"/>
      <w:r>
        <w:rPr>
          <w:rFonts w:ascii="Univers-Bold" w:hAnsi="Univers-Bold" w:cs="Univers-Bold"/>
          <w:b/>
          <w:bCs/>
          <w:color w:val="FFFFFF"/>
          <w:sz w:val="18"/>
          <w:szCs w:val="18"/>
        </w:rPr>
        <w:t>CapillaryElectrophoresis</w:t>
      </w:r>
      <w:proofErr w:type="spellEnd"/>
    </w:p>
    <w:p w:rsidR="00D1106E" w:rsidRPr="007E7D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Capillary Zone Electrophoresis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Capillary zone electrophoresis (CZE) is the most widely</w:t>
      </w:r>
      <w:r w:rsidR="00A727EB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used type of CE because of its simplicity and versatility. As</w:t>
      </w:r>
      <w:r w:rsidR="00A727EB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long as a molecule is charged, it can be </w:t>
      </w:r>
      <w:r w:rsidR="00A727EB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eparated by </w:t>
      </w:r>
      <w:proofErr w:type="spellStart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CZE.Also</w:t>
      </w:r>
      <w:proofErr w:type="spellEnd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 CZE is simple to perform because the capillary is only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filled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with buffer. Separation occurs as solutes migrate at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different velocities through the capillary. Another advantage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of CZE is that it separates anions 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cations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 the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same run, which is not done in other CE methods.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However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,CZE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cannot separate neutral molecules.</w:t>
      </w:r>
    </w:p>
    <w:p w:rsidR="00D1106E" w:rsidRPr="00D41829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proofErr w:type="spellStart"/>
      <w:r w:rsidRP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Isotachophoresis</w:t>
      </w:r>
      <w:proofErr w:type="spellEnd"/>
      <w:r w:rsid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define or talk about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Isotachophoresis</w:t>
      </w:r>
      <w:proofErr w:type="spellEnd"/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(ITP) is a focusing technique based on the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migration of the sample components between the leading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and terminating electrolytes.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Solutes with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mobilities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intermediate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to those of the leading and terminating electrolytes</w:t>
      </w:r>
    </w:p>
    <w:p w:rsidR="00D1106E" w:rsidRPr="007E7D1E" w:rsidRDefault="00D1106E" w:rsidP="00A727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stack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into sharp focused zones. Although used as a mode of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separation, transient ITP has been used primarily as a sample</w:t>
      </w:r>
      <w:r w:rsidR="00A727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concentration technique.</w:t>
      </w:r>
    </w:p>
    <w:p w:rsidR="00D1106E" w:rsidRPr="00D41829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  <w:r w:rsidRPr="00D4182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Capillary Isoelectric Focusing</w:t>
      </w:r>
    </w:p>
    <w:p w:rsidR="00D1106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Capillary isoelectric focusing (CIEF) is a separation method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that allows </w:t>
      </w:r>
      <w:r w:rsidR="00E91A1E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mphoteric molecules, such as proteins, to be</w:t>
      </w:r>
      <w:r w:rsidR="00A727EB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separated by electrophoresis in a pH gradient generated</w:t>
      </w:r>
      <w:r w:rsidR="00E91A1E"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418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between the cathode and anode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. A solute will migrate to a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point at which its net charge is zero. At the solute’s isoelectric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point (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), migration stops, and the sample is focused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into a tight zone. In CIEF, once a solute has focused at its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,the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zone is mobilized past the detector by either pressure or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chemical means. CIEF is often employed in protein characterization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as a mechanism to determine a protein’s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pI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1106E" w:rsidRPr="007E7D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CAPILLARY ELECTROPHORESIS</w:t>
      </w:r>
    </w:p>
    <w:p w:rsidR="00E91A1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In capillary electrophoresis (CE) the classic separation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techniquesof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zone electrophoresis,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isotachophoresis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isoelectric </w:t>
      </w:r>
      <w:proofErr w:type="spellStart"/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focusing</w:t>
      </w:r>
      <w:proofErr w:type="gramStart"/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and</w:t>
      </w:r>
      <w:proofErr w:type="spellEnd"/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gel electrophoresis are performed in small-bore (10- to 100-μm), fused silica capillary tubes, 20 to 200 cm in length </w:t>
      </w:r>
    </w:p>
    <w:p w:rsidR="00D1106E" w:rsidRPr="007E7D1E" w:rsidRDefault="00D1106E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A63DF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The CE method is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efficient, sensitive, and rapid. High electrical</w:t>
      </w:r>
      <w:r w:rsidR="00E91A1E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field strengths are used to separate molecules based on differences</w:t>
      </w:r>
      <w:r w:rsidR="00E91A1E"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in charge, size, and </w:t>
      </w:r>
      <w:proofErr w:type="spellStart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ydrophobicity</w:t>
      </w:r>
      <w:proofErr w:type="spellEnd"/>
      <w:r w:rsidRPr="001A63DF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Sample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introductionis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accomplished by immersing the end of the capillary into a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samplevial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and applying pressure, vacuum, or voltage.</w:t>
      </w:r>
    </w:p>
    <w:p w:rsidR="00D1106E" w:rsidRPr="00E91A1E" w:rsidRDefault="00D1106E" w:rsidP="00D110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E91A1E">
        <w:rPr>
          <w:rFonts w:asciiTheme="majorBidi" w:hAnsiTheme="majorBidi" w:cstheme="majorBidi"/>
          <w:b/>
          <w:bCs/>
          <w:color w:val="000000"/>
        </w:rPr>
        <w:t xml:space="preserve">Table2: </w:t>
      </w:r>
      <w:r w:rsidRPr="00E91A1E">
        <w:rPr>
          <w:rFonts w:asciiTheme="majorBidi" w:hAnsiTheme="majorBidi" w:cstheme="majorBidi"/>
          <w:b/>
          <w:bCs/>
        </w:rPr>
        <w:t>Comparison of Traditional Capillary Electrophoresis and Microchip Capillary Electrophoresis</w:t>
      </w:r>
    </w:p>
    <w:p w:rsidR="00D13391" w:rsidRPr="007E7D1E" w:rsidRDefault="00D1106E" w:rsidP="00D1106E">
      <w:pPr>
        <w:rPr>
          <w:rFonts w:asciiTheme="majorBidi" w:hAnsiTheme="majorBidi" w:cstheme="majorBidi"/>
          <w:sz w:val="28"/>
          <w:szCs w:val="28"/>
        </w:rPr>
      </w:pPr>
      <w:r w:rsidRPr="007E7D1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8A7C554" wp14:editId="1749EE67">
            <wp:extent cx="5943600" cy="1462665"/>
            <wp:effectExtent l="0" t="0" r="0" b="4445"/>
            <wp:docPr id="3" name="Picture 3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C9" w:rsidRPr="007E7D1E" w:rsidRDefault="000E11C9" w:rsidP="00E91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E7D1E">
        <w:rPr>
          <w:rFonts w:asciiTheme="majorBidi" w:hAnsiTheme="majorBidi" w:cstheme="majorBidi"/>
          <w:sz w:val="28"/>
          <w:szCs w:val="28"/>
        </w:rPr>
        <w:t>Microchip CE was developed in the early 1990s. The advantages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of microchip CE include high speed, reduced reagent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consumption, integration analysis, and miniaturization. The</w:t>
      </w:r>
      <w:r w:rsidR="00E91A1E">
        <w:rPr>
          <w:rFonts w:asciiTheme="majorBidi" w:hAnsiTheme="majorBidi" w:cstheme="majorBidi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sz w:val="28"/>
          <w:szCs w:val="28"/>
        </w:rPr>
        <w:t>applications of microchip CE are diverse and include immune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sz w:val="28"/>
          <w:szCs w:val="28"/>
        </w:rPr>
        <w:t>disorders</w:t>
      </w:r>
      <w:proofErr w:type="gramEnd"/>
      <w:r w:rsidRPr="007E7D1E">
        <w:rPr>
          <w:rFonts w:asciiTheme="majorBidi" w:hAnsiTheme="majorBidi" w:cstheme="majorBidi"/>
          <w:sz w:val="28"/>
          <w:szCs w:val="28"/>
        </w:rPr>
        <w:t>.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Conventional CE revolutionized DNA analysis and was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vital to the Human Genome Project. Microchip CE is still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the early stages of development but has demonstrated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distinct advantages compared with traditional </w:t>
      </w: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CE</w:t>
      </w:r>
      <w:r w:rsidR="00E91A1E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gramEnd"/>
      <w:r w:rsidR="00E91A1E">
        <w:rPr>
          <w:rFonts w:asciiTheme="majorBidi" w:hAnsiTheme="majorBidi" w:cstheme="majorBidi"/>
          <w:color w:val="000000"/>
          <w:sz w:val="28"/>
          <w:szCs w:val="28"/>
        </w:rPr>
        <w:t>table2)</w:t>
      </w:r>
    </w:p>
    <w:p w:rsidR="000E11C9" w:rsidRPr="007E7D1E" w:rsidRDefault="000E11C9" w:rsidP="000E11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Principle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is intended for the identification of monoclonal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gammopathies</w:t>
      </w:r>
      <w:proofErr w:type="spellEnd"/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serum, urine, or CSF using high-resolution protein electrophoresis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immunofixation.In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the first step of the IFE procedure, a single specimen is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applied to six different positions on an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plate and the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proteins are separated according to their net charge by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electrophoresis.In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the second phase,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monospecific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antisera are applied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to five of the electrophoresis patterns: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IgG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IgA,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, and </w:t>
      </w:r>
      <w:r w:rsidRPr="007E7D1E">
        <w:rPr>
          <w:rFonts w:asciiTheme="majorBidi" w:eastAsia="TnQ" w:hAnsiTheme="majorBidi" w:cstheme="majorBidi"/>
          <w:color w:val="000000"/>
          <w:sz w:val="28"/>
          <w:szCs w:val="28"/>
        </w:rPr>
        <w:t>κ</w:t>
      </w:r>
      <w:r w:rsidR="00842780">
        <w:rPr>
          <w:rFonts w:asciiTheme="majorBidi" w:eastAsia="TnQ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7E7D1E">
        <w:rPr>
          <w:rFonts w:asciiTheme="majorBidi" w:eastAsia="TnQ" w:hAnsiTheme="majorBidi" w:cstheme="majorBidi"/>
          <w:color w:val="000000"/>
          <w:sz w:val="28"/>
          <w:szCs w:val="28"/>
        </w:rPr>
        <w:t xml:space="preserve">γ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antisera. A protein fixative solution is applied to the sixth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pattern to produce a complete protein reference pattern. The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plate is incubated for 10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minutes.If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complementary antigen is present in the proper proportions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in the test sample, antigen-antibody complexes form and</w:t>
      </w:r>
    </w:p>
    <w:p w:rsidR="000E11C9" w:rsidRPr="007E7D1E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precipitate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>. The formation of a stable antigen-antibody precipitate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fixes the protein in the gel. After fixation, the gel is washed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deproteinization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solution (e.g., dilute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NaCl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) and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nonprecipitated</w:t>
      </w:r>
      <w:proofErr w:type="spellEnd"/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proteins are washed out of the </w:t>
      </w:r>
      <w:proofErr w:type="spellStart"/>
      <w:r w:rsidRPr="007E7D1E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7E7D1E">
        <w:rPr>
          <w:rFonts w:asciiTheme="majorBidi" w:hAnsiTheme="majorBidi" w:cstheme="majorBidi"/>
          <w:color w:val="000000"/>
          <w:sz w:val="28"/>
          <w:szCs w:val="28"/>
        </w:rPr>
        <w:t>, leaving only the</w:t>
      </w:r>
    </w:p>
    <w:p w:rsidR="00842780" w:rsidRDefault="000E11C9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E7D1E">
        <w:rPr>
          <w:rFonts w:asciiTheme="majorBidi" w:hAnsiTheme="majorBidi" w:cstheme="majorBidi"/>
          <w:color w:val="000000"/>
          <w:sz w:val="28"/>
          <w:szCs w:val="28"/>
        </w:rPr>
        <w:t>antigen-antibody</w:t>
      </w:r>
      <w:proofErr w:type="gramEnd"/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complex. The protein reference pattern and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the antigen-antibody precipitation bands are stained with a</w:t>
      </w:r>
      <w:r w:rsidR="0084278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>protein-sensitive stain.</w:t>
      </w:r>
    </w:p>
    <w:p w:rsidR="00842780" w:rsidRDefault="00842780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842780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42780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Western blot technique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proteins</w:t>
      </w:r>
      <w:proofErr w:type="gramEnd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are separated</w:t>
      </w:r>
      <w:r w:rsidR="00CE27AB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electrophoretically</w:t>
      </w:r>
      <w:proofErr w:type="spellEnd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 transferred to membranes, and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identified through the use of labeled antibodies specific for the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protein of interest (</w:t>
      </w:r>
      <w:r w:rsidRPr="00DC2552">
        <w:rPr>
          <w:rFonts w:asciiTheme="majorBidi" w:hAnsiTheme="majorBidi" w:cstheme="majorBidi"/>
          <w:color w:val="000069"/>
          <w:sz w:val="28"/>
          <w:szCs w:val="28"/>
          <w:highlight w:val="yellow"/>
        </w:rPr>
        <w:t xml:space="preserve">Fig. </w:t>
      </w:r>
      <w:r w:rsidR="00842780" w:rsidRPr="00DC2552">
        <w:rPr>
          <w:rFonts w:asciiTheme="majorBidi" w:hAnsiTheme="majorBidi" w:cstheme="majorBidi"/>
          <w:color w:val="000069"/>
          <w:sz w:val="28"/>
          <w:szCs w:val="28"/>
          <w:highlight w:val="yellow"/>
        </w:rPr>
        <w:t>3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).</w:t>
      </w:r>
    </w:p>
    <w:p w:rsidR="00B321DB" w:rsidRPr="00DC2552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7E7D1E">
        <w:rPr>
          <w:rFonts w:asciiTheme="majorBidi" w:hAnsiTheme="majorBidi" w:cstheme="majorBidi"/>
          <w:b/>
          <w:bCs/>
          <w:color w:val="000000"/>
          <w:sz w:val="28"/>
          <w:szCs w:val="28"/>
        </w:rPr>
        <w:t>Western blot</w:t>
      </w:r>
      <w:r w:rsidRPr="007E7D1E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technique detects antibodies to specific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epitopes of antigen subspecies. Electrophoresis of antigenic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material results in the separation of the antigen components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by molecular weight (MW). Blotting the separated antigen to</w:t>
      </w:r>
    </w:p>
    <w:p w:rsidR="00B321DB" w:rsidRPr="00DC2552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proofErr w:type="gramStart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nitrocellulose</w:t>
      </w:r>
      <w:proofErr w:type="gramEnd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 retaining the electrophoretic position, and causing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it to react with patient specimen will result in the binding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specific antibodies, if present, to each antigenic band. Electrophoresis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known MW standards allows for the determination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the MW of each antigenic band to which antibodies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may be produced. These antibodies are then detected using</w:t>
      </w:r>
      <w:r w:rsidR="00842780"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EIA reactions that characterize antibody </w:t>
      </w:r>
      <w:proofErr w:type="spellStart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specificity.The</w:t>
      </w:r>
      <w:proofErr w:type="spellEnd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Western blot technique is often used to confirm the</w:t>
      </w:r>
    </w:p>
    <w:p w:rsidR="00B321DB" w:rsidRPr="007E7D1E" w:rsidRDefault="00B321DB" w:rsidP="00842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specificity</w:t>
      </w:r>
      <w:proofErr w:type="gramEnd"/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of antibodies detected by enzyme-linked </w:t>
      </w:r>
      <w:proofErr w:type="spellStart"/>
      <w:r w:rsidRPr="00DC2552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immunosorbent</w:t>
      </w:r>
      <w:proofErr w:type="spellEnd"/>
      <w:r w:rsidR="00842780" w:rsidRPr="00DC2552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</w:t>
      </w:r>
      <w:r w:rsidRPr="00DC255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assay (ELISA) screening procedures.</w:t>
      </w:r>
    </w:p>
    <w:p w:rsidR="00794843" w:rsidRPr="007E7D1E" w:rsidRDefault="00794843" w:rsidP="00B321DB">
      <w:pPr>
        <w:rPr>
          <w:rFonts w:asciiTheme="majorBidi" w:hAnsiTheme="majorBidi" w:cstheme="majorBidi"/>
          <w:sz w:val="28"/>
          <w:szCs w:val="28"/>
        </w:rPr>
      </w:pPr>
    </w:p>
    <w:p w:rsidR="00794843" w:rsidRPr="00D13391" w:rsidRDefault="00794843" w:rsidP="00B321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022382" cy="4720107"/>
            <wp:effectExtent l="0" t="0" r="0" b="4445"/>
            <wp:docPr id="4" name="Picture 4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82" cy="47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43" w:rsidRDefault="00794843">
      <w:pPr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Fig3:</w:t>
      </w:r>
      <w:r w:rsidRPr="00794843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Western blot immunoassay</w:t>
      </w:r>
    </w:p>
    <w:p w:rsidR="00D96AA5" w:rsidRPr="00D96AA5" w:rsidRDefault="00D96AA5" w:rsidP="00D96A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Direct and Indirect Methods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Direct detection uses a labeled primary antibody. Because incubation with a secondary antibody is eliminated, this strategy is performed in less time than a classical Western blot. Additionally, background signal from secondary antibody cross reactivity is eliminated. Direct detection also enables probing for multiple targets simultaneously. Labeling a primary antibody, however, sometimes has an adverse effect on its immune reactivity, and even in the best of circumstances, a labeled primary antibody cannot provide signal </w:t>
      </w:r>
      <w:r w:rsidR="00A8761A" w:rsidRPr="00F535A9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mplification.</w:t>
      </w:r>
      <w:r w:rsidRPr="00D96AA5">
        <w:rPr>
          <w:rFonts w:asciiTheme="majorBidi" w:hAnsiTheme="majorBidi" w:cstheme="majorBidi"/>
          <w:sz w:val="28"/>
          <w:szCs w:val="28"/>
        </w:rPr>
        <w:t xml:space="preserve"> Consequently,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the direct method is generally less sensitive than indirect detection and is best used only when the target is relatively abundant</w:t>
      </w:r>
      <w:r w:rsidRPr="00D96AA5">
        <w:rPr>
          <w:rFonts w:asciiTheme="majorBidi" w:hAnsiTheme="majorBidi" w:cstheme="majorBidi"/>
          <w:sz w:val="28"/>
          <w:szCs w:val="28"/>
        </w:rPr>
        <w:t xml:space="preserve">. One option is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biotinylating</w:t>
      </w:r>
      <w:proofErr w:type="spell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the primary antibody, which is an indirect method that both amplifies the signal and eliminates the secondary antibody. Labeling with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biotinylation</w:t>
      </w:r>
      <w:proofErr w:type="spellEnd"/>
      <w:proofErr w:type="gram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reagents typically results in more than one biotin moiety per  antibody molecule. Each biotin moiety is capable of interacting with an enzyme-conjugated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avidin</w:t>
      </w:r>
      <w:proofErr w:type="spell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, streptavidin or Thermo Scientific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Neutr</w:t>
      </w:r>
      <w:proofErr w:type="spell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Avidin</w:t>
      </w:r>
      <w:proofErr w:type="spellEnd"/>
      <w:r w:rsidRPr="00F535A9">
        <w:rPr>
          <w:rFonts w:asciiTheme="majorBidi" w:eastAsia="SymbolMT" w:hAnsiTheme="majorBidi" w:cstheme="majorBidi"/>
          <w:sz w:val="28"/>
          <w:szCs w:val="28"/>
          <w:highlight w:val="yellow"/>
        </w:rPr>
        <w:t xml:space="preserve">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Protein. These multiple enzymes catalyze the conversion of appropriate substrate to amplify the signal.</w:t>
      </w:r>
      <w:r w:rsidRPr="00D96AA5">
        <w:rPr>
          <w:rFonts w:asciiTheme="majorBidi" w:hAnsiTheme="majorBidi" w:cstheme="majorBidi"/>
          <w:sz w:val="28"/>
          <w:szCs w:val="28"/>
        </w:rPr>
        <w:t xml:space="preserve"> Essentially, the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avidin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conjugate replaces a secondary antibody and its appropriate molar concentration is the same as if a secondary antibody were used.</w:t>
      </w:r>
    </w:p>
    <w:p w:rsidR="00D96AA5" w:rsidRPr="00D96AA5" w:rsidRDefault="00D96AA5" w:rsidP="00D96A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Blocking buffer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Many different blocking reagents are available for Western blotting. Because no blocking reagent is appropriate for all systems, empirical testing is essential. 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F535A9">
        <w:rPr>
          <w:rFonts w:ascii="TimesNewRoman" w:hAnsi="TimesNewRoman" w:cs="TimesNewRoman"/>
          <w:sz w:val="28"/>
          <w:szCs w:val="28"/>
          <w:highlight w:val="yellow"/>
        </w:rPr>
        <w:t>The system’s antibodies or target.</w:t>
      </w:r>
      <w:proofErr w:type="gramEnd"/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For example, using 5%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non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fat</w:t>
      </w:r>
      <w:proofErr w:type="spellEnd"/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milk as a blocking reagent when using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avidin</w:t>
      </w:r>
      <w:proofErr w:type="spellEnd"/>
      <w:r w:rsidRPr="00F535A9">
        <w:rPr>
          <w:rFonts w:ascii="TimesNewRoman" w:hAnsi="TimesNewRoman" w:cs="TimesNewRoman"/>
          <w:sz w:val="28"/>
          <w:szCs w:val="28"/>
          <w:highlight w:val="yellow"/>
        </w:rPr>
        <w:t>/biotin systems results in high background because milk contains variable amounts of endogenous biotin, which binds the a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vidin</w:t>
      </w:r>
      <w:proofErr w:type="spellEnd"/>
      <w:r w:rsidRPr="00F535A9">
        <w:rPr>
          <w:rFonts w:ascii="TimesNewRoman" w:hAnsi="TimesNewRoman" w:cs="TimesNewRoman"/>
          <w:sz w:val="28"/>
          <w:szCs w:val="28"/>
          <w:highlight w:val="yellow"/>
        </w:rPr>
        <w:t>.</w:t>
      </w:r>
      <w:r w:rsidRPr="00D96AA5">
        <w:rPr>
          <w:rFonts w:ascii="TimesNewRoman" w:hAnsi="TimesNewRoman" w:cs="TimesNewRoman"/>
          <w:sz w:val="28"/>
          <w:szCs w:val="28"/>
        </w:rPr>
        <w:t xml:space="preserve"> 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96AA5">
        <w:rPr>
          <w:rFonts w:asciiTheme="majorBidi" w:hAnsiTheme="majorBidi" w:cstheme="majorBidi"/>
          <w:b/>
          <w:bCs/>
          <w:sz w:val="28"/>
          <w:szCs w:val="28"/>
        </w:rPr>
        <w:t>Western Blotting Protocol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96AA5">
        <w:rPr>
          <w:rFonts w:asciiTheme="majorBidi" w:hAnsiTheme="majorBidi" w:cstheme="majorBidi"/>
          <w:sz w:val="28"/>
          <w:szCs w:val="28"/>
        </w:rPr>
        <w:t xml:space="preserve">1.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Separate the proteins in the sample by gel</w:t>
      </w:r>
      <w:r w:rsidR="00A8761A"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electrophoresis.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2. Prepare the transfer buffer: Use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Tris</w:t>
      </w:r>
      <w:proofErr w:type="spellEnd"/>
      <w:r w:rsidRPr="00F535A9">
        <w:rPr>
          <w:rFonts w:asciiTheme="majorBidi" w:hAnsiTheme="majorBidi" w:cstheme="majorBidi"/>
          <w:sz w:val="28"/>
          <w:szCs w:val="28"/>
          <w:highlight w:val="yellow"/>
        </w:rPr>
        <w:t>-glycine transfer buffer</w:t>
      </w:r>
      <w:r w:rsidRPr="00D96AA5">
        <w:rPr>
          <w:rFonts w:asciiTheme="majorBidi" w:hAnsiTheme="majorBidi" w:cstheme="majorBidi"/>
          <w:sz w:val="28"/>
          <w:szCs w:val="28"/>
        </w:rPr>
        <w:t xml:space="preserve"> dissolved in 400 ml of ultrapure water plus 100 ml methanol (25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mM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Tris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, 192 </w:t>
      </w:r>
      <w:proofErr w:type="spellStart"/>
      <w:r w:rsidRPr="00D96AA5">
        <w:rPr>
          <w:rFonts w:asciiTheme="majorBidi" w:hAnsiTheme="majorBidi" w:cstheme="majorBidi"/>
          <w:sz w:val="28"/>
          <w:szCs w:val="28"/>
        </w:rPr>
        <w:t>mM</w:t>
      </w:r>
      <w:proofErr w:type="spellEnd"/>
      <w:r w:rsidRPr="00D96AA5">
        <w:rPr>
          <w:rFonts w:asciiTheme="majorBidi" w:hAnsiTheme="majorBidi" w:cstheme="majorBidi"/>
          <w:sz w:val="28"/>
          <w:szCs w:val="28"/>
        </w:rPr>
        <w:t xml:space="preserve"> glycine,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pH 8.0, 20% methanol). Use and store the transfer buffer at 4</w:t>
      </w:r>
      <w:r w:rsidRPr="00F535A9">
        <w:rPr>
          <w:rFonts w:asciiTheme="majorBidi" w:eastAsia="SymbolMT" w:hAnsiTheme="majorBidi" w:cstheme="majorBidi"/>
          <w:sz w:val="28"/>
          <w:szCs w:val="28"/>
          <w:highlight w:val="yellow"/>
        </w:rPr>
        <w:t>°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C.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96AA5">
        <w:rPr>
          <w:rFonts w:asciiTheme="majorBidi" w:hAnsiTheme="majorBidi" w:cstheme="majorBidi"/>
          <w:sz w:val="28"/>
          <w:szCs w:val="28"/>
        </w:rPr>
        <w:t>3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. Construct a gel “sandwich” (Figure 3) for</w:t>
      </w:r>
      <w:r w:rsidR="00CE27AB"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wet transfer. For semi-dry transfer, prepare the sandwich in the same order between the anode and cathode.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535A9">
        <w:rPr>
          <w:rFonts w:asciiTheme="majorBidi" w:hAnsiTheme="majorBidi" w:cstheme="majorBidi"/>
          <w:sz w:val="28"/>
          <w:szCs w:val="28"/>
          <w:highlight w:val="yellow"/>
        </w:rPr>
        <w:lastRenderedPageBreak/>
        <w:t>4. Transfer proteins from the gel to a</w:t>
      </w:r>
      <w:r w:rsidR="00CE27AB"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membrane. For wet transfer using a mini</w:t>
      </w:r>
      <w:r w:rsidR="00A8761A"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transfer apparatus designed for a 8 </w:t>
      </w:r>
      <w:r w:rsidRPr="00F535A9">
        <w:rPr>
          <w:rFonts w:asciiTheme="majorBidi" w:eastAsia="SymbolMT" w:hAnsiTheme="majorBidi" w:cstheme="majorBidi"/>
          <w:sz w:val="28"/>
          <w:szCs w:val="28"/>
          <w:highlight w:val="yellow"/>
        </w:rPr>
        <w:t xml:space="preserve">×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10 cm gel, transfer at 40 V for 90minutes keeping the buffer temperature at 4</w:t>
      </w:r>
      <w:r w:rsidRPr="00F535A9">
        <w:rPr>
          <w:rFonts w:asciiTheme="majorBidi" w:eastAsia="SymbolMT" w:hAnsiTheme="majorBidi" w:cstheme="majorBidi"/>
          <w:sz w:val="28"/>
          <w:szCs w:val="28"/>
          <w:highlight w:val="yellow"/>
        </w:rPr>
        <w:t>°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C. For semi-dry</w:t>
      </w:r>
      <w:r w:rsidR="00CE27AB"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>transfer use 15 V for 90 minutes.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535A9">
        <w:rPr>
          <w:rFonts w:asciiTheme="majorBidi" w:hAnsiTheme="majorBidi" w:cstheme="majorBidi"/>
          <w:sz w:val="28"/>
          <w:szCs w:val="28"/>
          <w:highlight w:val="yellow"/>
        </w:rPr>
        <w:t>5. Remove the membrane and block nonspecific binding sites with a blocking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buffer</w:t>
      </w:r>
      <w:proofErr w:type="gram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for 20-60 minutes at room temperature (RT) with shaking.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  <w:lang w:bidi="ar-IQ"/>
        </w:rPr>
      </w:pPr>
      <w:r w:rsidRPr="00D96AA5">
        <w:rPr>
          <w:rFonts w:asciiTheme="majorBidi" w:hAnsiTheme="majorBidi" w:cstheme="majorBidi"/>
          <w:sz w:val="28"/>
          <w:szCs w:val="28"/>
        </w:rPr>
        <w:t xml:space="preserve">6.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Incubate the blot with the primary antibody solution (see Table 2) containing 10%blocking solution with rocking for 1 </w:t>
      </w:r>
      <w:proofErr w:type="spellStart"/>
      <w:r w:rsidRPr="00F535A9">
        <w:rPr>
          <w:rFonts w:asciiTheme="majorBidi" w:hAnsiTheme="majorBidi" w:cstheme="majorBidi"/>
          <w:sz w:val="28"/>
          <w:szCs w:val="28"/>
          <w:highlight w:val="yellow"/>
        </w:rPr>
        <w:t>hour.If</w:t>
      </w:r>
      <w:proofErr w:type="spellEnd"/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 desired, incubate the blot overnight a</w:t>
      </w:r>
      <w:r w:rsidRPr="00F535A9">
        <w:rPr>
          <w:rFonts w:ascii="TimesNewRoman" w:hAnsi="TimesNewRoman" w:cs="TimesNewRoman"/>
          <w:sz w:val="20"/>
          <w:szCs w:val="20"/>
          <w:highlight w:val="yellow"/>
        </w:rPr>
        <w:t xml:space="preserve"> </w:t>
      </w:r>
      <w:r w:rsidRPr="00F535A9">
        <w:rPr>
          <w:rFonts w:asciiTheme="majorBidi" w:hAnsiTheme="majorBidi" w:cstheme="majorBidi"/>
          <w:sz w:val="28"/>
          <w:szCs w:val="28"/>
          <w:highlight w:val="yellow"/>
        </w:rPr>
        <w:t xml:space="preserve">2-8°C. 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7. Wash the membrane three times for 5 minutes each with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Tris</w:t>
      </w:r>
      <w:proofErr w:type="spellEnd"/>
      <w:r w:rsidRPr="00F535A9">
        <w:rPr>
          <w:rFonts w:ascii="TimesNewRoman" w:hAnsi="TimesNewRoman" w:cs="TimesNewRoman"/>
          <w:sz w:val="28"/>
          <w:szCs w:val="28"/>
          <w:highlight w:val="yellow"/>
        </w:rPr>
        <w:t>-buffered saline (TBS), phosphate-buffered saline (PBS) or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other physiological wash buffer containing 0.05% Tween-20. If using an enzyme-conjugated primary antibody, proceed to Step 10.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  <w:lang w:bidi="ar-IQ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>8. Incubate blot with the enzyme conjugate (see Table 3) containing 10% blocking solution for 1 hour with rocking at RT.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9. Wash the membrane five times for 5 minutes each in wash buffer to remove any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non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bound</w:t>
      </w:r>
      <w:proofErr w:type="spellEnd"/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conjugate. It is crucial to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thoroughly wash the membrane after incubation with the enzyme conjugate.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>10. Prepare the substrate. Use a sufficient volume to ensure that the blot is completely wetted with substrate and the blot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proofErr w:type="gramStart"/>
      <w:r w:rsidRPr="00F535A9">
        <w:rPr>
          <w:rFonts w:ascii="TimesNewRoman" w:hAnsi="TimesNewRoman" w:cs="TimesNewRoman"/>
          <w:sz w:val="28"/>
          <w:szCs w:val="28"/>
          <w:highlight w:val="yellow"/>
        </w:rPr>
        <w:t>does</w:t>
      </w:r>
      <w:proofErr w:type="gramEnd"/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not become dry (0.1 ml/cm2).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>11. Incubate the blot with substrate for 1 minute when using Pierce ECL or 5 minutes when using Super</w:t>
      </w:r>
      <w:r w:rsidR="00CE27AB"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Signal Substrates.</w:t>
      </w:r>
    </w:p>
    <w:p w:rsidR="00D96AA5" w:rsidRPr="00F535A9" w:rsidRDefault="00D96AA5" w:rsidP="00D96AA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  <w:highlight w:val="yellow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12. Remove the blot from the substrate and place it in a plastic membrane protector. A plastic sheet protector works </w:t>
      </w:r>
      <w:proofErr w:type="spellStart"/>
      <w:r w:rsidRPr="00F535A9">
        <w:rPr>
          <w:rFonts w:ascii="TimesNewRoman" w:hAnsi="TimesNewRoman" w:cs="TimesNewRoman"/>
          <w:sz w:val="28"/>
          <w:szCs w:val="28"/>
          <w:highlight w:val="yellow"/>
        </w:rPr>
        <w:t>well</w:t>
      </w:r>
      <w:proofErr w:type="gramStart"/>
      <w:r w:rsidRPr="00F535A9">
        <w:rPr>
          <w:rFonts w:ascii="TimesNewRoman" w:hAnsi="TimesNewRoman" w:cs="TimesNewRoman"/>
          <w:sz w:val="28"/>
          <w:szCs w:val="28"/>
          <w:highlight w:val="yellow"/>
        </w:rPr>
        <w:t>,although</w:t>
      </w:r>
      <w:proofErr w:type="spellEnd"/>
      <w:proofErr w:type="gramEnd"/>
      <w:r w:rsidRPr="00F535A9">
        <w:rPr>
          <w:rFonts w:ascii="TimesNewRoman" w:hAnsi="TimesNewRoman" w:cs="TimesNewRoman"/>
          <w:sz w:val="28"/>
          <w:szCs w:val="28"/>
          <w:highlight w:val="yellow"/>
        </w:rPr>
        <w:t xml:space="preserve"> plastic wrap also may be used. Remove all air bubbles between the blot and the surface of the membrane</w:t>
      </w:r>
      <w:r w:rsidRPr="00F535A9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</w:t>
      </w:r>
      <w:r w:rsidRPr="00F535A9">
        <w:rPr>
          <w:rFonts w:ascii="TimesNewRoman" w:hAnsi="TimesNewRoman" w:cs="TimesNewRoman"/>
          <w:sz w:val="28"/>
          <w:szCs w:val="28"/>
          <w:highlight w:val="yellow"/>
        </w:rPr>
        <w:t>protector.</w:t>
      </w:r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F535A9">
        <w:rPr>
          <w:rFonts w:ascii="TimesNewRoman" w:hAnsi="TimesNewRoman" w:cs="TimesNewRoman"/>
          <w:sz w:val="28"/>
          <w:szCs w:val="28"/>
          <w:highlight w:val="yellow"/>
        </w:rPr>
        <w:t>13. Image the blot using film or a cooled CCD camera</w:t>
      </w:r>
      <w:r w:rsidRPr="00F535A9">
        <w:rPr>
          <w:rFonts w:asciiTheme="majorBidi" w:hAnsiTheme="majorBidi" w:cstheme="majorBidi"/>
          <w:sz w:val="28"/>
          <w:szCs w:val="28"/>
          <w:highlight w:val="yellow"/>
          <w:lang w:bidi="ar-IQ"/>
        </w:rPr>
        <w:t>.</w:t>
      </w:r>
      <w:bookmarkStart w:id="0" w:name="_GoBack"/>
      <w:bookmarkEnd w:id="0"/>
    </w:p>
    <w:p w:rsidR="00D96AA5" w:rsidRPr="00D96AA5" w:rsidRDefault="00D96AA5" w:rsidP="00D96A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D96AA5" w:rsidRPr="00D13391" w:rsidRDefault="00D96AA5">
      <w:pPr>
        <w:rPr>
          <w:rFonts w:asciiTheme="majorBidi" w:hAnsiTheme="majorBidi" w:cstheme="majorBidi"/>
          <w:sz w:val="28"/>
          <w:szCs w:val="28"/>
        </w:rPr>
      </w:pPr>
    </w:p>
    <w:sectPr w:rsidR="00D96AA5" w:rsidRPr="00D1339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54" w:rsidRDefault="00507B54" w:rsidP="004E5924">
      <w:pPr>
        <w:spacing w:after="0" w:line="240" w:lineRule="auto"/>
      </w:pPr>
      <w:r>
        <w:separator/>
      </w:r>
    </w:p>
  </w:endnote>
  <w:endnote w:type="continuationSeparator" w:id="0">
    <w:p w:rsidR="00507B54" w:rsidRDefault="00507B54" w:rsidP="004E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Q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26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924" w:rsidRDefault="004E5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5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5924" w:rsidRDefault="004E5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54" w:rsidRDefault="00507B54" w:rsidP="004E5924">
      <w:pPr>
        <w:spacing w:after="0" w:line="240" w:lineRule="auto"/>
      </w:pPr>
      <w:r>
        <w:separator/>
      </w:r>
    </w:p>
  </w:footnote>
  <w:footnote w:type="continuationSeparator" w:id="0">
    <w:p w:rsidR="00507B54" w:rsidRDefault="00507B54" w:rsidP="004E5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69"/>
    <w:rsid w:val="000E11C9"/>
    <w:rsid w:val="001A63DF"/>
    <w:rsid w:val="004E5924"/>
    <w:rsid w:val="00507B54"/>
    <w:rsid w:val="00567FFA"/>
    <w:rsid w:val="006C7A7D"/>
    <w:rsid w:val="00794843"/>
    <w:rsid w:val="007E7D1E"/>
    <w:rsid w:val="00842780"/>
    <w:rsid w:val="009F4169"/>
    <w:rsid w:val="00A727EB"/>
    <w:rsid w:val="00A8761A"/>
    <w:rsid w:val="00AA78B7"/>
    <w:rsid w:val="00B321DB"/>
    <w:rsid w:val="00B3412C"/>
    <w:rsid w:val="00B45015"/>
    <w:rsid w:val="00C65687"/>
    <w:rsid w:val="00CC2C41"/>
    <w:rsid w:val="00CC2ED7"/>
    <w:rsid w:val="00CE27AB"/>
    <w:rsid w:val="00D1106E"/>
    <w:rsid w:val="00D13391"/>
    <w:rsid w:val="00D41829"/>
    <w:rsid w:val="00D96AA5"/>
    <w:rsid w:val="00DC2552"/>
    <w:rsid w:val="00DF6CBF"/>
    <w:rsid w:val="00E022CE"/>
    <w:rsid w:val="00E70872"/>
    <w:rsid w:val="00E91A1E"/>
    <w:rsid w:val="00F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24"/>
  </w:style>
  <w:style w:type="paragraph" w:styleId="Footer">
    <w:name w:val="footer"/>
    <w:basedOn w:val="Normal"/>
    <w:link w:val="Foot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24"/>
  </w:style>
  <w:style w:type="paragraph" w:styleId="Footer">
    <w:name w:val="footer"/>
    <w:basedOn w:val="Normal"/>
    <w:link w:val="FooterChar"/>
    <w:uiPriority w:val="99"/>
    <w:unhideWhenUsed/>
    <w:rsid w:val="004E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C763-E3D1-46A9-A43C-56A4C3C4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2020-05-18T20:42:00Z</dcterms:created>
  <dcterms:modified xsi:type="dcterms:W3CDTF">2021-05-18T09:07:00Z</dcterms:modified>
</cp:coreProperties>
</file>