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3959F32" w14:textId="77777777" w:rsidR="00A42B3C" w:rsidRPr="00A42B3C" w:rsidRDefault="00A42B3C" w:rsidP="00A42B3C">
      <w:pPr>
        <w:bidi w:val="0"/>
        <w:spacing w:after="0" w:line="360" w:lineRule="auto"/>
        <w:jc w:val="both"/>
        <w:rPr>
          <w:rFonts w:asciiTheme="majorBidi" w:hAnsiTheme="majorBidi" w:cstheme="majorBidi"/>
          <w:b/>
          <w:bCs/>
          <w:sz w:val="28"/>
          <w:szCs w:val="28"/>
          <w:lang w:bidi="ar-IQ"/>
        </w:rPr>
      </w:pPr>
      <w:r w:rsidRPr="00A42B3C">
        <w:rPr>
          <w:rFonts w:asciiTheme="majorBidi" w:hAnsiTheme="majorBidi" w:cstheme="majorBidi"/>
          <w:b/>
          <w:bCs/>
          <w:sz w:val="28"/>
          <w:szCs w:val="28"/>
          <w:lang w:bidi="ar-IQ"/>
        </w:rPr>
        <w:t xml:space="preserve">Tinea </w:t>
      </w:r>
      <w:proofErr w:type="gramStart"/>
      <w:r w:rsidRPr="00A42B3C">
        <w:rPr>
          <w:rFonts w:asciiTheme="majorBidi" w:hAnsiTheme="majorBidi" w:cstheme="majorBidi"/>
          <w:b/>
          <w:bCs/>
          <w:sz w:val="28"/>
          <w:szCs w:val="28"/>
          <w:lang w:bidi="ar-IQ"/>
        </w:rPr>
        <w:t>pedis(</w:t>
      </w:r>
      <w:proofErr w:type="gramEnd"/>
      <w:r w:rsidRPr="00A42B3C">
        <w:rPr>
          <w:rFonts w:asciiTheme="majorBidi" w:hAnsiTheme="majorBidi" w:cstheme="majorBidi"/>
          <w:b/>
          <w:bCs/>
          <w:sz w:val="28"/>
          <w:szCs w:val="28"/>
          <w:lang w:bidi="ar-IQ"/>
        </w:rPr>
        <w:t>Athlete's Foot)</w:t>
      </w:r>
    </w:p>
    <w:p w14:paraId="73959F33" w14:textId="77777777" w:rsidR="00A42B3C" w:rsidRPr="00A42B3C" w:rsidRDefault="00A42B3C" w:rsidP="00A42B3C">
      <w:pPr>
        <w:bidi w:val="0"/>
        <w:spacing w:after="0" w:line="360" w:lineRule="auto"/>
        <w:jc w:val="both"/>
        <w:rPr>
          <w:rFonts w:asciiTheme="majorBidi" w:hAnsiTheme="majorBidi" w:cstheme="majorBidi"/>
          <w:sz w:val="28"/>
          <w:szCs w:val="28"/>
          <w:lang w:bidi="ar-IQ"/>
        </w:rPr>
      </w:pPr>
      <w:r w:rsidRPr="00A42B3C">
        <w:rPr>
          <w:rFonts w:asciiTheme="majorBidi" w:hAnsiTheme="majorBidi" w:cstheme="majorBidi"/>
          <w:sz w:val="28"/>
          <w:szCs w:val="28"/>
          <w:rtl/>
          <w:lang w:bidi="ar-IQ"/>
        </w:rPr>
        <w:t xml:space="preserve">   </w:t>
      </w:r>
      <w:r w:rsidRPr="00A42B3C">
        <w:rPr>
          <w:rFonts w:asciiTheme="majorBidi" w:hAnsiTheme="majorBidi" w:cstheme="majorBidi"/>
          <w:sz w:val="28"/>
          <w:szCs w:val="28"/>
          <w:lang w:bidi="ar-IQ"/>
        </w:rPr>
        <w:t>Infections by anthropophilic dermatophytes are usually caused by the shedding of skin scales containing viable infectious hyphal elements [arthroconidia] of the fungus. Tinea pedis is a dermatophyte infection of the feet</w:t>
      </w:r>
      <w:r w:rsidRPr="00A42B3C">
        <w:rPr>
          <w:rFonts w:asciiTheme="majorBidi" w:hAnsiTheme="majorBidi" w:cstheme="majorBidi"/>
          <w:sz w:val="28"/>
          <w:szCs w:val="28"/>
          <w:rtl/>
          <w:lang w:bidi="ar-IQ"/>
        </w:rPr>
        <w:t xml:space="preserve">. </w:t>
      </w:r>
    </w:p>
    <w:p w14:paraId="73959F34" w14:textId="77777777" w:rsidR="00A42B3C" w:rsidRPr="00A42B3C" w:rsidRDefault="00A42B3C" w:rsidP="00A42B3C">
      <w:pPr>
        <w:bidi w:val="0"/>
        <w:spacing w:after="0" w:line="360" w:lineRule="auto"/>
        <w:jc w:val="both"/>
        <w:rPr>
          <w:rFonts w:asciiTheme="majorBidi" w:hAnsiTheme="majorBidi" w:cstheme="majorBidi"/>
          <w:sz w:val="28"/>
          <w:szCs w:val="28"/>
          <w:lang w:bidi="ar-IQ"/>
        </w:rPr>
      </w:pPr>
      <w:r w:rsidRPr="00A42B3C">
        <w:rPr>
          <w:rFonts w:asciiTheme="majorBidi" w:hAnsiTheme="majorBidi" w:cstheme="majorBidi"/>
          <w:sz w:val="28"/>
          <w:szCs w:val="28"/>
          <w:lang w:bidi="ar-IQ"/>
        </w:rPr>
        <w:t>Tinea pedis is the most common dermatophytosis because moisture from foot sweating facilitates fungal growth</w:t>
      </w:r>
      <w:r w:rsidRPr="00A42B3C">
        <w:rPr>
          <w:rFonts w:asciiTheme="majorBidi" w:hAnsiTheme="majorBidi" w:cstheme="majorBidi"/>
          <w:sz w:val="28"/>
          <w:szCs w:val="28"/>
          <w:rtl/>
          <w:lang w:bidi="ar-IQ"/>
        </w:rPr>
        <w:t>.</w:t>
      </w:r>
    </w:p>
    <w:p w14:paraId="73959F35" w14:textId="77777777" w:rsidR="00DC76E8" w:rsidRDefault="00A42B3C" w:rsidP="00A42B3C">
      <w:pPr>
        <w:bidi w:val="0"/>
        <w:spacing w:after="0" w:line="360" w:lineRule="auto"/>
        <w:jc w:val="both"/>
        <w:rPr>
          <w:lang w:bidi="ar-IQ"/>
        </w:rPr>
      </w:pPr>
      <w:r w:rsidRPr="00A42B3C">
        <w:rPr>
          <w:rFonts w:asciiTheme="majorBidi" w:hAnsiTheme="majorBidi" w:cstheme="majorBidi"/>
          <w:sz w:val="28"/>
          <w:szCs w:val="28"/>
          <w:lang w:bidi="ar-IQ"/>
        </w:rPr>
        <w:t xml:space="preserve">The feet, especially the soles and toe webs, are most frequently involved in tinea pedis. The more chronic agents of tinea pedis are T. rubrum, T. mentagrophytes and E. </w:t>
      </w:r>
      <w:proofErr w:type="spellStart"/>
      <w:r w:rsidRPr="00A42B3C">
        <w:rPr>
          <w:rFonts w:asciiTheme="majorBidi" w:hAnsiTheme="majorBidi" w:cstheme="majorBidi"/>
          <w:sz w:val="28"/>
          <w:szCs w:val="28"/>
          <w:lang w:bidi="ar-IQ"/>
        </w:rPr>
        <w:t>floccosum</w:t>
      </w:r>
      <w:proofErr w:type="spellEnd"/>
      <w:r>
        <w:rPr>
          <w:rFonts w:cs="Arial"/>
          <w:rtl/>
          <w:lang w:bidi="ar-IQ"/>
        </w:rPr>
        <w:t>.</w:t>
      </w:r>
    </w:p>
    <w:p w14:paraId="73959F36" w14:textId="77777777" w:rsidR="00A42B3C" w:rsidRPr="00A42B3C" w:rsidRDefault="00A42B3C" w:rsidP="00A42B3C">
      <w:pPr>
        <w:bidi w:val="0"/>
        <w:spacing w:after="0" w:line="360" w:lineRule="auto"/>
        <w:jc w:val="both"/>
        <w:rPr>
          <w:rFonts w:asciiTheme="majorBidi" w:hAnsiTheme="majorBidi" w:cstheme="majorBidi"/>
          <w:sz w:val="28"/>
          <w:szCs w:val="28"/>
          <w:lang w:bidi="ar-IQ"/>
        </w:rPr>
      </w:pPr>
    </w:p>
    <w:p w14:paraId="73959F37" w14:textId="77777777" w:rsidR="00A42B3C" w:rsidRPr="00A42B3C" w:rsidRDefault="00A42B3C" w:rsidP="00A42B3C">
      <w:pPr>
        <w:bidi w:val="0"/>
        <w:spacing w:after="0" w:line="360" w:lineRule="auto"/>
        <w:jc w:val="both"/>
        <w:rPr>
          <w:rFonts w:asciiTheme="majorBidi" w:hAnsiTheme="majorBidi" w:cstheme="majorBidi"/>
          <w:b/>
          <w:bCs/>
          <w:sz w:val="28"/>
          <w:szCs w:val="28"/>
          <w:lang w:bidi="ar-IQ"/>
        </w:rPr>
      </w:pPr>
      <w:r w:rsidRPr="00A42B3C">
        <w:rPr>
          <w:rFonts w:asciiTheme="majorBidi" w:hAnsiTheme="majorBidi" w:cstheme="majorBidi"/>
          <w:b/>
          <w:bCs/>
          <w:sz w:val="28"/>
          <w:szCs w:val="28"/>
          <w:lang w:bidi="ar-IQ"/>
        </w:rPr>
        <w:t>Tinea cruris (Jock Itch)</w:t>
      </w:r>
    </w:p>
    <w:p w14:paraId="73959F38" w14:textId="77777777" w:rsidR="00A42B3C" w:rsidRDefault="00A42B3C" w:rsidP="00A42B3C">
      <w:pPr>
        <w:bidi w:val="0"/>
        <w:spacing w:after="0" w:line="360" w:lineRule="auto"/>
        <w:jc w:val="both"/>
        <w:rPr>
          <w:rFonts w:asciiTheme="majorBidi" w:hAnsiTheme="majorBidi" w:cstheme="majorBidi"/>
          <w:sz w:val="28"/>
          <w:szCs w:val="28"/>
          <w:lang w:bidi="ar-IQ"/>
        </w:rPr>
      </w:pPr>
      <w:r w:rsidRPr="00A42B3C">
        <w:rPr>
          <w:rFonts w:asciiTheme="majorBidi" w:hAnsiTheme="majorBidi" w:cstheme="majorBidi"/>
          <w:sz w:val="28"/>
          <w:szCs w:val="28"/>
          <w:rtl/>
          <w:lang w:bidi="ar-IQ"/>
        </w:rPr>
        <w:t xml:space="preserve">   </w:t>
      </w:r>
      <w:r w:rsidRPr="00A42B3C">
        <w:rPr>
          <w:rFonts w:asciiTheme="majorBidi" w:hAnsiTheme="majorBidi" w:cstheme="majorBidi"/>
          <w:sz w:val="28"/>
          <w:szCs w:val="28"/>
          <w:lang w:bidi="ar-IQ"/>
        </w:rPr>
        <w:t>Tinea cruris is a dermatophyte infection of the groin. Common organisms include T. rubrum or T. mentagrophytes. The primary risk factors are associated with a moist environment (</w:t>
      </w:r>
      <w:proofErr w:type="spellStart"/>
      <w:r w:rsidRPr="00A42B3C">
        <w:rPr>
          <w:rFonts w:asciiTheme="majorBidi" w:hAnsiTheme="majorBidi" w:cstheme="majorBidi"/>
          <w:sz w:val="28"/>
          <w:szCs w:val="28"/>
          <w:lang w:bidi="ar-IQ"/>
        </w:rPr>
        <w:t>ie</w:t>
      </w:r>
      <w:proofErr w:type="spellEnd"/>
      <w:r w:rsidRPr="00A42B3C">
        <w:rPr>
          <w:rFonts w:asciiTheme="majorBidi" w:hAnsiTheme="majorBidi" w:cstheme="majorBidi"/>
          <w:sz w:val="28"/>
          <w:szCs w:val="28"/>
          <w:lang w:bidi="ar-IQ"/>
        </w:rPr>
        <w:t xml:space="preserve">, warm weather, wet and restrictive clothing, obesity causing skin folds). Men are affected more than women Typically, a pruritic, ringed lesion extends from the </w:t>
      </w:r>
      <w:proofErr w:type="spellStart"/>
      <w:r w:rsidRPr="00A42B3C">
        <w:rPr>
          <w:rFonts w:asciiTheme="majorBidi" w:hAnsiTheme="majorBidi" w:cstheme="majorBidi"/>
          <w:sz w:val="28"/>
          <w:szCs w:val="28"/>
          <w:lang w:bidi="ar-IQ"/>
        </w:rPr>
        <w:t>crural</w:t>
      </w:r>
      <w:proofErr w:type="spellEnd"/>
      <w:r w:rsidRPr="00A42B3C">
        <w:rPr>
          <w:rFonts w:asciiTheme="majorBidi" w:hAnsiTheme="majorBidi" w:cstheme="majorBidi"/>
          <w:sz w:val="28"/>
          <w:szCs w:val="28"/>
          <w:lang w:bidi="ar-IQ"/>
        </w:rPr>
        <w:t xml:space="preserve"> fold over the adjacent upper inner thigh. infection occur more often during summer</w:t>
      </w:r>
      <w:r w:rsidRPr="00A42B3C">
        <w:rPr>
          <w:rFonts w:asciiTheme="majorBidi" w:hAnsiTheme="majorBidi" w:cstheme="majorBidi"/>
          <w:sz w:val="28"/>
          <w:szCs w:val="28"/>
          <w:rtl/>
          <w:lang w:bidi="ar-IQ"/>
        </w:rPr>
        <w:t>.</w:t>
      </w:r>
    </w:p>
    <w:p w14:paraId="73959F39" w14:textId="77777777" w:rsidR="00A42B3C" w:rsidRDefault="00A42B3C" w:rsidP="00A42B3C">
      <w:pPr>
        <w:bidi w:val="0"/>
        <w:spacing w:after="0" w:line="360" w:lineRule="auto"/>
        <w:jc w:val="both"/>
        <w:rPr>
          <w:rFonts w:asciiTheme="majorBidi" w:hAnsiTheme="majorBidi" w:cstheme="majorBidi"/>
          <w:sz w:val="28"/>
          <w:szCs w:val="28"/>
          <w:lang w:bidi="ar-IQ"/>
        </w:rPr>
      </w:pPr>
    </w:p>
    <w:p w14:paraId="73959F3A" w14:textId="77777777" w:rsidR="00A42B3C" w:rsidRPr="00A42B3C" w:rsidRDefault="00A42B3C" w:rsidP="00A42B3C">
      <w:pPr>
        <w:bidi w:val="0"/>
        <w:spacing w:after="0" w:line="360" w:lineRule="auto"/>
        <w:jc w:val="both"/>
        <w:rPr>
          <w:rFonts w:asciiTheme="majorBidi" w:hAnsiTheme="majorBidi" w:cstheme="majorBidi"/>
          <w:b/>
          <w:bCs/>
          <w:sz w:val="28"/>
          <w:szCs w:val="28"/>
          <w:lang w:bidi="ar-IQ"/>
        </w:rPr>
      </w:pPr>
      <w:r w:rsidRPr="00A42B3C">
        <w:rPr>
          <w:rFonts w:asciiTheme="majorBidi" w:hAnsiTheme="majorBidi" w:cstheme="majorBidi"/>
          <w:b/>
          <w:bCs/>
          <w:sz w:val="28"/>
          <w:szCs w:val="28"/>
          <w:lang w:bidi="ar-IQ"/>
        </w:rPr>
        <w:t xml:space="preserve">Tine </w:t>
      </w:r>
      <w:proofErr w:type="spellStart"/>
      <w:r w:rsidRPr="00A42B3C">
        <w:rPr>
          <w:rFonts w:asciiTheme="majorBidi" w:hAnsiTheme="majorBidi" w:cstheme="majorBidi"/>
          <w:b/>
          <w:bCs/>
          <w:sz w:val="28"/>
          <w:szCs w:val="28"/>
          <w:lang w:bidi="ar-IQ"/>
        </w:rPr>
        <w:t>aunguium</w:t>
      </w:r>
      <w:proofErr w:type="spellEnd"/>
      <w:r w:rsidRPr="00A42B3C">
        <w:rPr>
          <w:rFonts w:asciiTheme="majorBidi" w:hAnsiTheme="majorBidi" w:cstheme="majorBidi"/>
          <w:b/>
          <w:bCs/>
          <w:sz w:val="28"/>
          <w:szCs w:val="28"/>
          <w:lang w:bidi="ar-IQ"/>
        </w:rPr>
        <w:t xml:space="preserve"> (dermatophyte onychomycosis</w:t>
      </w:r>
      <w:r w:rsidRPr="00A42B3C">
        <w:rPr>
          <w:rFonts w:asciiTheme="majorBidi" w:hAnsiTheme="majorBidi" w:cs="Times New Roman"/>
          <w:b/>
          <w:bCs/>
          <w:sz w:val="28"/>
          <w:szCs w:val="28"/>
          <w:lang w:bidi="ar-IQ"/>
        </w:rPr>
        <w:t>)</w:t>
      </w:r>
    </w:p>
    <w:p w14:paraId="73959F3B" w14:textId="77777777" w:rsidR="00A42B3C" w:rsidRDefault="00A42B3C" w:rsidP="00A42B3C">
      <w:pPr>
        <w:bidi w:val="0"/>
        <w:spacing w:after="0" w:line="360" w:lineRule="auto"/>
        <w:jc w:val="both"/>
        <w:rPr>
          <w:rFonts w:asciiTheme="majorBidi" w:hAnsiTheme="majorBidi" w:cstheme="majorBidi"/>
          <w:sz w:val="28"/>
          <w:szCs w:val="28"/>
          <w:lang w:bidi="ar-IQ"/>
        </w:rPr>
      </w:pPr>
      <w:r w:rsidRPr="00A42B3C">
        <w:rPr>
          <w:rFonts w:asciiTheme="majorBidi" w:hAnsiTheme="majorBidi" w:cstheme="majorBidi"/>
          <w:sz w:val="28"/>
          <w:szCs w:val="28"/>
          <w:lang w:bidi="ar-IQ"/>
        </w:rPr>
        <w:t xml:space="preserve">Onychomycosis refers to the invasion of the nail plate by a fungus. The infection may be due to dermatophyte </w:t>
      </w:r>
      <w:proofErr w:type="gramStart"/>
      <w:r w:rsidRPr="00A42B3C">
        <w:rPr>
          <w:rFonts w:asciiTheme="majorBidi" w:hAnsiTheme="majorBidi" w:cstheme="majorBidi"/>
          <w:sz w:val="28"/>
          <w:szCs w:val="28"/>
          <w:lang w:bidi="ar-IQ"/>
        </w:rPr>
        <w:t>a  yeast</w:t>
      </w:r>
      <w:proofErr w:type="gramEnd"/>
      <w:r w:rsidRPr="00A42B3C">
        <w:rPr>
          <w:rFonts w:asciiTheme="majorBidi" w:hAnsiTheme="majorBidi" w:cstheme="majorBidi"/>
          <w:sz w:val="28"/>
          <w:szCs w:val="28"/>
          <w:lang w:bidi="ar-IQ"/>
        </w:rPr>
        <w:t xml:space="preserve">, or </w:t>
      </w:r>
      <w:proofErr w:type="spellStart"/>
      <w:r w:rsidRPr="00A42B3C">
        <w:rPr>
          <w:rFonts w:asciiTheme="majorBidi" w:hAnsiTheme="majorBidi" w:cstheme="majorBidi"/>
          <w:sz w:val="28"/>
          <w:szCs w:val="28"/>
          <w:lang w:bidi="ar-IQ"/>
        </w:rPr>
        <w:t>non dermatophyte</w:t>
      </w:r>
      <w:proofErr w:type="spellEnd"/>
      <w:r w:rsidRPr="00A42B3C">
        <w:rPr>
          <w:rFonts w:asciiTheme="majorBidi" w:hAnsiTheme="majorBidi" w:cstheme="majorBidi"/>
          <w:sz w:val="28"/>
          <w:szCs w:val="28"/>
          <w:lang w:bidi="ar-IQ"/>
        </w:rPr>
        <w:t xml:space="preserve"> </w:t>
      </w:r>
      <w:proofErr w:type="spellStart"/>
      <w:r w:rsidRPr="00A42B3C">
        <w:rPr>
          <w:rFonts w:asciiTheme="majorBidi" w:hAnsiTheme="majorBidi" w:cstheme="majorBidi"/>
          <w:sz w:val="28"/>
          <w:szCs w:val="28"/>
          <w:lang w:bidi="ar-IQ"/>
        </w:rPr>
        <w:t>mould</w:t>
      </w:r>
      <w:proofErr w:type="spellEnd"/>
      <w:r w:rsidRPr="00A42B3C">
        <w:rPr>
          <w:rFonts w:asciiTheme="majorBidi" w:hAnsiTheme="majorBidi" w:cstheme="majorBidi"/>
          <w:sz w:val="28"/>
          <w:szCs w:val="28"/>
          <w:lang w:bidi="ar-IQ"/>
        </w:rPr>
        <w:t xml:space="preserve">. The term "tinea </w:t>
      </w:r>
      <w:proofErr w:type="spellStart"/>
      <w:r w:rsidRPr="00A42B3C">
        <w:rPr>
          <w:rFonts w:asciiTheme="majorBidi" w:hAnsiTheme="majorBidi" w:cstheme="majorBidi"/>
          <w:sz w:val="28"/>
          <w:szCs w:val="28"/>
          <w:lang w:bidi="ar-IQ"/>
        </w:rPr>
        <w:t>unguium</w:t>
      </w:r>
      <w:proofErr w:type="spellEnd"/>
      <w:r w:rsidRPr="00A42B3C">
        <w:rPr>
          <w:rFonts w:asciiTheme="majorBidi" w:hAnsiTheme="majorBidi" w:cstheme="majorBidi"/>
          <w:sz w:val="28"/>
          <w:szCs w:val="28"/>
          <w:lang w:bidi="ar-IQ"/>
        </w:rPr>
        <w:t xml:space="preserve">" is used specifically to describe invasive </w:t>
      </w:r>
      <w:proofErr w:type="spellStart"/>
      <w:r w:rsidRPr="00A42B3C">
        <w:rPr>
          <w:rFonts w:asciiTheme="majorBidi" w:hAnsiTheme="majorBidi" w:cstheme="majorBidi"/>
          <w:sz w:val="28"/>
          <w:szCs w:val="28"/>
          <w:lang w:bidi="ar-IQ"/>
        </w:rPr>
        <w:t>dermatophytic</w:t>
      </w:r>
      <w:proofErr w:type="spellEnd"/>
      <w:r w:rsidRPr="00A42B3C">
        <w:rPr>
          <w:rFonts w:asciiTheme="majorBidi" w:hAnsiTheme="majorBidi" w:cstheme="majorBidi"/>
          <w:sz w:val="28"/>
          <w:szCs w:val="28"/>
          <w:lang w:bidi="ar-IQ"/>
        </w:rPr>
        <w:t xml:space="preserve"> onychomycosis</w:t>
      </w:r>
    </w:p>
    <w:p w14:paraId="73959F3C" w14:textId="77777777" w:rsidR="00A42B3C" w:rsidRDefault="00A42B3C" w:rsidP="00A42B3C">
      <w:pPr>
        <w:bidi w:val="0"/>
        <w:spacing w:after="0" w:line="360" w:lineRule="auto"/>
        <w:jc w:val="both"/>
        <w:rPr>
          <w:rFonts w:asciiTheme="majorBidi" w:hAnsiTheme="majorBidi" w:cstheme="majorBidi"/>
          <w:sz w:val="28"/>
          <w:szCs w:val="28"/>
          <w:lang w:bidi="ar-IQ"/>
        </w:rPr>
      </w:pPr>
    </w:p>
    <w:p w14:paraId="73959F3D" w14:textId="77777777" w:rsidR="00A42B3C" w:rsidRDefault="00A42B3C" w:rsidP="00A42B3C">
      <w:pPr>
        <w:bidi w:val="0"/>
        <w:spacing w:after="0" w:line="360" w:lineRule="auto"/>
        <w:jc w:val="both"/>
        <w:rPr>
          <w:rFonts w:asciiTheme="majorBidi" w:hAnsiTheme="majorBidi" w:cstheme="majorBidi"/>
          <w:sz w:val="28"/>
          <w:szCs w:val="28"/>
          <w:lang w:bidi="ar-IQ"/>
        </w:rPr>
      </w:pPr>
    </w:p>
    <w:p w14:paraId="73959F3E" w14:textId="77777777" w:rsidR="00A42B3C" w:rsidRDefault="00A42B3C" w:rsidP="00A42B3C">
      <w:pPr>
        <w:bidi w:val="0"/>
        <w:spacing w:after="0" w:line="360" w:lineRule="auto"/>
        <w:jc w:val="both"/>
        <w:rPr>
          <w:rFonts w:asciiTheme="majorBidi" w:hAnsiTheme="majorBidi" w:cstheme="majorBidi"/>
          <w:sz w:val="28"/>
          <w:szCs w:val="28"/>
          <w:lang w:bidi="ar-IQ"/>
        </w:rPr>
      </w:pPr>
    </w:p>
    <w:p w14:paraId="73959F3F" w14:textId="77777777" w:rsidR="00A42B3C" w:rsidRDefault="00A42B3C" w:rsidP="00A42B3C">
      <w:pPr>
        <w:bidi w:val="0"/>
        <w:spacing w:after="0" w:line="360" w:lineRule="auto"/>
        <w:jc w:val="both"/>
        <w:rPr>
          <w:rFonts w:asciiTheme="majorBidi" w:hAnsiTheme="majorBidi" w:cstheme="majorBidi"/>
          <w:b/>
          <w:bCs/>
          <w:sz w:val="28"/>
          <w:szCs w:val="28"/>
          <w:lang w:bidi="ar-IQ"/>
        </w:rPr>
      </w:pPr>
      <w:r w:rsidRPr="00A42B3C">
        <w:rPr>
          <w:rFonts w:asciiTheme="majorBidi" w:hAnsiTheme="majorBidi" w:cstheme="majorBidi"/>
          <w:b/>
          <w:bCs/>
          <w:sz w:val="28"/>
          <w:szCs w:val="28"/>
          <w:lang w:bidi="ar-IQ"/>
        </w:rPr>
        <w:lastRenderedPageBreak/>
        <w:t xml:space="preserve">Clinical Manifestation </w:t>
      </w:r>
    </w:p>
    <w:p w14:paraId="73959F40" w14:textId="77777777" w:rsidR="00A42B3C" w:rsidRDefault="00A42B3C" w:rsidP="00A42B3C">
      <w:pPr>
        <w:bidi w:val="0"/>
        <w:spacing w:after="0" w:line="360" w:lineRule="auto"/>
        <w:jc w:val="both"/>
        <w:rPr>
          <w:rFonts w:asciiTheme="majorBidi" w:hAnsiTheme="majorBidi" w:cstheme="majorBidi"/>
          <w:sz w:val="28"/>
          <w:szCs w:val="28"/>
          <w:lang w:bidi="ar-IQ"/>
        </w:rPr>
      </w:pPr>
      <w:r w:rsidRPr="00A42B3C">
        <w:rPr>
          <w:rFonts w:asciiTheme="majorBidi" w:hAnsiTheme="majorBidi" w:cstheme="majorBidi"/>
          <w:sz w:val="28"/>
          <w:szCs w:val="28"/>
          <w:lang w:bidi="ar-IQ"/>
        </w:rPr>
        <w:t>To better understand the clinical varieties of onychomycosis, it is important to review the anatomy of the fingernail and surrounding tissues (the "nail unit"). The matrix is where the cells multiply and keratinize before being incorporated into the nail plate. This tissue starts about 5mm proximal to the nail fold and covers all the area called "lunula" or "</w:t>
      </w:r>
      <w:proofErr w:type="spellStart"/>
      <w:r w:rsidRPr="00A42B3C">
        <w:rPr>
          <w:rFonts w:asciiTheme="majorBidi" w:hAnsiTheme="majorBidi" w:cstheme="majorBidi"/>
          <w:sz w:val="28"/>
          <w:szCs w:val="28"/>
          <w:lang w:bidi="ar-IQ"/>
        </w:rPr>
        <w:t>half moon</w:t>
      </w:r>
      <w:proofErr w:type="spellEnd"/>
      <w:r w:rsidRPr="00A42B3C">
        <w:rPr>
          <w:rFonts w:asciiTheme="majorBidi" w:hAnsiTheme="majorBidi" w:cstheme="majorBidi"/>
          <w:sz w:val="28"/>
          <w:szCs w:val="28"/>
          <w:lang w:bidi="ar-IQ"/>
        </w:rPr>
        <w:t>". The matrix is protected from infection by the cuticle, a fold of modified stratum corneum proximal to the nail plate</w:t>
      </w:r>
    </w:p>
    <w:p w14:paraId="73959F41" w14:textId="77777777" w:rsidR="00A42B3C" w:rsidRDefault="00A42B3C" w:rsidP="00A42B3C">
      <w:pPr>
        <w:bidi w:val="0"/>
        <w:spacing w:after="0" w:line="360" w:lineRule="auto"/>
        <w:jc w:val="both"/>
        <w:rPr>
          <w:rFonts w:asciiTheme="majorBidi" w:hAnsiTheme="majorBidi" w:cstheme="majorBidi"/>
          <w:sz w:val="28"/>
          <w:szCs w:val="28"/>
          <w:lang w:bidi="ar-IQ"/>
        </w:rPr>
      </w:pPr>
    </w:p>
    <w:p w14:paraId="73959F42" w14:textId="77777777" w:rsidR="00A42B3C" w:rsidRDefault="00A42B3C" w:rsidP="00A42B3C">
      <w:pPr>
        <w:bidi w:val="0"/>
        <w:spacing w:after="0" w:line="360" w:lineRule="auto"/>
        <w:jc w:val="both"/>
        <w:rPr>
          <w:rFonts w:asciiTheme="majorBidi" w:hAnsiTheme="majorBidi" w:cstheme="majorBidi"/>
          <w:sz w:val="28"/>
          <w:szCs w:val="28"/>
          <w:lang w:bidi="ar-IQ"/>
        </w:rPr>
      </w:pPr>
    </w:p>
    <w:p w14:paraId="73959F43" w14:textId="77777777" w:rsidR="00A42B3C" w:rsidRDefault="00A42B3C" w:rsidP="00A42B3C">
      <w:pPr>
        <w:bidi w:val="0"/>
        <w:spacing w:after="0" w:line="360" w:lineRule="auto"/>
        <w:jc w:val="both"/>
        <w:rPr>
          <w:rFonts w:asciiTheme="majorBidi" w:hAnsiTheme="majorBidi" w:cstheme="majorBidi"/>
          <w:sz w:val="28"/>
          <w:szCs w:val="28"/>
          <w:lang w:bidi="ar-IQ"/>
        </w:rPr>
      </w:pPr>
    </w:p>
    <w:p w14:paraId="73959F44" w14:textId="77777777" w:rsidR="00A42B3C" w:rsidRDefault="00A42B3C" w:rsidP="00A42B3C">
      <w:pPr>
        <w:bidi w:val="0"/>
        <w:spacing w:after="0" w:line="360" w:lineRule="auto"/>
        <w:jc w:val="both"/>
        <w:rPr>
          <w:rFonts w:asciiTheme="majorBidi" w:hAnsiTheme="majorBidi" w:cstheme="majorBidi"/>
          <w:sz w:val="28"/>
          <w:szCs w:val="28"/>
          <w:rtl/>
          <w:lang w:bidi="ar-IQ"/>
        </w:rPr>
      </w:pPr>
      <w:r>
        <w:rPr>
          <w:rFonts w:asciiTheme="majorBidi" w:hAnsiTheme="majorBidi" w:cstheme="majorBidi"/>
          <w:noProof/>
          <w:sz w:val="28"/>
          <w:szCs w:val="28"/>
        </w:rPr>
        <w:drawing>
          <wp:inline distT="0" distB="0" distL="0" distR="0" wp14:anchorId="73959F7E" wp14:editId="73959F7F">
            <wp:extent cx="4462780" cy="37433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462780" cy="3743325"/>
                    </a:xfrm>
                    <a:prstGeom prst="rect">
                      <a:avLst/>
                    </a:prstGeom>
                    <a:noFill/>
                  </pic:spPr>
                </pic:pic>
              </a:graphicData>
            </a:graphic>
          </wp:inline>
        </w:drawing>
      </w:r>
    </w:p>
    <w:p w14:paraId="73959F45" w14:textId="77777777" w:rsidR="00A42B3C" w:rsidRPr="00A42B3C" w:rsidRDefault="00A42B3C" w:rsidP="00A42B3C">
      <w:pPr>
        <w:bidi w:val="0"/>
        <w:rPr>
          <w:rFonts w:asciiTheme="majorBidi" w:hAnsiTheme="majorBidi" w:cstheme="majorBidi"/>
          <w:sz w:val="28"/>
          <w:szCs w:val="28"/>
          <w:rtl/>
          <w:lang w:bidi="ar-IQ"/>
        </w:rPr>
      </w:pPr>
    </w:p>
    <w:p w14:paraId="73959F46" w14:textId="77777777" w:rsidR="00A42B3C" w:rsidRPr="00A42B3C" w:rsidRDefault="00A42B3C" w:rsidP="00A42B3C">
      <w:pPr>
        <w:bidi w:val="0"/>
        <w:rPr>
          <w:rFonts w:asciiTheme="majorBidi" w:hAnsiTheme="majorBidi" w:cstheme="majorBidi"/>
          <w:sz w:val="28"/>
          <w:szCs w:val="28"/>
          <w:rtl/>
          <w:lang w:bidi="ar-IQ"/>
        </w:rPr>
      </w:pPr>
    </w:p>
    <w:p w14:paraId="73959F47" w14:textId="77777777" w:rsidR="00A42B3C" w:rsidRDefault="00A42B3C" w:rsidP="00A42B3C">
      <w:pPr>
        <w:bidi w:val="0"/>
        <w:rPr>
          <w:rFonts w:asciiTheme="majorBidi" w:hAnsiTheme="majorBidi" w:cstheme="majorBidi"/>
          <w:sz w:val="28"/>
          <w:szCs w:val="28"/>
          <w:rtl/>
          <w:lang w:bidi="ar-IQ"/>
        </w:rPr>
      </w:pPr>
    </w:p>
    <w:p w14:paraId="73959F48" w14:textId="77777777" w:rsidR="00A42B3C" w:rsidRDefault="00A42B3C" w:rsidP="00A42B3C">
      <w:pPr>
        <w:bidi w:val="0"/>
        <w:jc w:val="center"/>
        <w:rPr>
          <w:rFonts w:asciiTheme="majorBidi" w:hAnsiTheme="majorBidi" w:cstheme="majorBidi"/>
          <w:sz w:val="28"/>
          <w:szCs w:val="28"/>
          <w:lang w:bidi="ar-IQ"/>
        </w:rPr>
      </w:pPr>
    </w:p>
    <w:p w14:paraId="73959F49" w14:textId="77777777" w:rsidR="00A42B3C" w:rsidRDefault="00A42B3C" w:rsidP="00A42B3C">
      <w:pPr>
        <w:bidi w:val="0"/>
        <w:spacing w:after="0" w:line="360" w:lineRule="auto"/>
        <w:jc w:val="both"/>
        <w:rPr>
          <w:rFonts w:asciiTheme="majorBidi" w:hAnsiTheme="majorBidi" w:cstheme="majorBidi"/>
          <w:sz w:val="28"/>
          <w:szCs w:val="28"/>
          <w:lang w:bidi="ar-IQ"/>
        </w:rPr>
      </w:pPr>
      <w:r w:rsidRPr="00A42B3C">
        <w:rPr>
          <w:rFonts w:asciiTheme="majorBidi" w:hAnsiTheme="majorBidi" w:cstheme="majorBidi"/>
          <w:sz w:val="28"/>
          <w:szCs w:val="28"/>
          <w:lang w:bidi="ar-IQ"/>
        </w:rPr>
        <w:lastRenderedPageBreak/>
        <w:t xml:space="preserve">In all forms of onychomycosis, the nail becomes variously disfigured and distorted. hyperkeratosis, onycholysis, </w:t>
      </w:r>
      <w:proofErr w:type="gramStart"/>
      <w:r w:rsidRPr="00A42B3C">
        <w:rPr>
          <w:rFonts w:asciiTheme="majorBidi" w:hAnsiTheme="majorBidi" w:cstheme="majorBidi"/>
          <w:sz w:val="28"/>
          <w:szCs w:val="28"/>
          <w:lang w:bidi="ar-IQ"/>
        </w:rPr>
        <w:t>leukonychia</w:t>
      </w:r>
      <w:r w:rsidR="0066318F">
        <w:rPr>
          <w:rFonts w:asciiTheme="majorBidi" w:hAnsiTheme="majorBidi" w:cstheme="majorBidi"/>
          <w:sz w:val="28"/>
          <w:szCs w:val="28"/>
          <w:lang w:bidi="ar-IQ"/>
        </w:rPr>
        <w:t>(</w:t>
      </w:r>
      <w:proofErr w:type="gramEnd"/>
      <w:r w:rsidR="0066318F" w:rsidRPr="0066318F">
        <w:rPr>
          <w:rFonts w:asciiTheme="majorBidi" w:hAnsiTheme="majorBidi" w:cstheme="majorBidi"/>
          <w:sz w:val="28"/>
          <w:szCs w:val="28"/>
          <w:lang w:bidi="ar-IQ"/>
        </w:rPr>
        <w:t>white nails or milk spots</w:t>
      </w:r>
      <w:r w:rsidR="0066318F">
        <w:rPr>
          <w:rFonts w:asciiTheme="majorBidi" w:hAnsiTheme="majorBidi" w:cstheme="majorBidi"/>
          <w:sz w:val="28"/>
          <w:szCs w:val="28"/>
          <w:lang w:bidi="ar-IQ"/>
        </w:rPr>
        <w:t>)</w:t>
      </w:r>
      <w:r w:rsidRPr="00A42B3C">
        <w:rPr>
          <w:rFonts w:asciiTheme="majorBidi" w:hAnsiTheme="majorBidi" w:cstheme="majorBidi"/>
          <w:sz w:val="28"/>
          <w:szCs w:val="28"/>
          <w:lang w:bidi="ar-IQ"/>
        </w:rPr>
        <w:t>.</w:t>
      </w:r>
      <w:r w:rsidRPr="00A42B3C">
        <w:rPr>
          <w:rFonts w:asciiTheme="majorBidi" w:hAnsiTheme="majorBidi" w:cstheme="majorBidi"/>
          <w:sz w:val="28"/>
          <w:szCs w:val="28"/>
          <w:lang w:bidi="ar-IQ"/>
        </w:rPr>
        <w:br/>
        <w:t>Based on the form of infection and the associated clinical appearance, onychomycosis is classified in this way</w:t>
      </w:r>
      <w:r w:rsidRPr="00A42B3C">
        <w:rPr>
          <w:rFonts w:asciiTheme="majorBidi" w:hAnsiTheme="majorBidi" w:cs="Times New Roman"/>
          <w:sz w:val="28"/>
          <w:szCs w:val="28"/>
          <w:rtl/>
          <w:lang w:bidi="ar-IQ"/>
        </w:rPr>
        <w:t>:</w:t>
      </w:r>
    </w:p>
    <w:p w14:paraId="73959F4A" w14:textId="77777777" w:rsidR="00A42B3C" w:rsidRPr="00A42B3C" w:rsidRDefault="00A42B3C" w:rsidP="00A42B3C">
      <w:pPr>
        <w:bidi w:val="0"/>
        <w:spacing w:after="0" w:line="360" w:lineRule="auto"/>
        <w:jc w:val="both"/>
        <w:rPr>
          <w:rFonts w:asciiTheme="majorBidi" w:hAnsiTheme="majorBidi" w:cstheme="majorBidi"/>
          <w:sz w:val="28"/>
          <w:szCs w:val="28"/>
          <w:lang w:bidi="ar-IQ"/>
        </w:rPr>
      </w:pPr>
    </w:p>
    <w:p w14:paraId="73959F4B" w14:textId="77777777" w:rsidR="00A42B3C" w:rsidRPr="00A42B3C" w:rsidRDefault="00A42B3C" w:rsidP="00A42B3C">
      <w:pPr>
        <w:bidi w:val="0"/>
        <w:spacing w:after="0" w:line="360" w:lineRule="auto"/>
        <w:jc w:val="both"/>
        <w:rPr>
          <w:rFonts w:asciiTheme="majorBidi" w:hAnsiTheme="majorBidi" w:cstheme="majorBidi"/>
          <w:b/>
          <w:bCs/>
          <w:sz w:val="28"/>
          <w:szCs w:val="28"/>
          <w:lang w:bidi="ar-IQ"/>
        </w:rPr>
      </w:pPr>
      <w:r>
        <w:rPr>
          <w:rFonts w:asciiTheme="majorBidi" w:hAnsiTheme="majorBidi" w:cstheme="majorBidi"/>
          <w:b/>
          <w:bCs/>
          <w:sz w:val="28"/>
          <w:szCs w:val="28"/>
          <w:lang w:bidi="ar-IQ"/>
        </w:rPr>
        <w:t>1-</w:t>
      </w:r>
      <w:r w:rsidRPr="00A42B3C">
        <w:rPr>
          <w:rFonts w:asciiTheme="majorBidi" w:hAnsiTheme="majorBidi" w:cstheme="majorBidi"/>
          <w:b/>
          <w:bCs/>
          <w:sz w:val="28"/>
          <w:szCs w:val="28"/>
          <w:lang w:bidi="ar-IQ"/>
        </w:rPr>
        <w:t>Distal subungual onychomycosis (DSO) T. rubrum</w:t>
      </w:r>
    </w:p>
    <w:p w14:paraId="73959F4C" w14:textId="77777777" w:rsidR="00A42B3C" w:rsidRPr="00A42B3C" w:rsidRDefault="00A42B3C" w:rsidP="00A42B3C">
      <w:pPr>
        <w:bidi w:val="0"/>
        <w:spacing w:after="0" w:line="360" w:lineRule="auto"/>
        <w:jc w:val="both"/>
        <w:rPr>
          <w:rFonts w:asciiTheme="majorBidi" w:hAnsiTheme="majorBidi" w:cstheme="majorBidi"/>
          <w:b/>
          <w:bCs/>
          <w:sz w:val="28"/>
          <w:szCs w:val="28"/>
          <w:lang w:bidi="ar-IQ"/>
        </w:rPr>
      </w:pPr>
      <w:r>
        <w:rPr>
          <w:rFonts w:asciiTheme="majorBidi" w:hAnsiTheme="majorBidi" w:cstheme="majorBidi"/>
          <w:b/>
          <w:bCs/>
          <w:sz w:val="28"/>
          <w:szCs w:val="28"/>
          <w:lang w:bidi="ar-IQ"/>
        </w:rPr>
        <w:t>2-</w:t>
      </w:r>
      <w:r w:rsidRPr="00A42B3C">
        <w:rPr>
          <w:rFonts w:asciiTheme="majorBidi" w:hAnsiTheme="majorBidi" w:cstheme="majorBidi"/>
          <w:b/>
          <w:bCs/>
          <w:sz w:val="28"/>
          <w:szCs w:val="28"/>
          <w:lang w:bidi="ar-IQ"/>
        </w:rPr>
        <w:t>Proximal subungual onychomycosis (PSO) T. rubrum</w:t>
      </w:r>
      <w:r w:rsidRPr="00A42B3C">
        <w:rPr>
          <w:rFonts w:asciiTheme="majorBidi" w:hAnsiTheme="majorBidi" w:cs="Times New Roman"/>
          <w:b/>
          <w:bCs/>
          <w:sz w:val="28"/>
          <w:szCs w:val="28"/>
          <w:rtl/>
          <w:lang w:bidi="ar-IQ"/>
        </w:rPr>
        <w:t xml:space="preserve"> </w:t>
      </w:r>
    </w:p>
    <w:p w14:paraId="73959F4D" w14:textId="77777777" w:rsidR="00A42B3C" w:rsidRDefault="00A42B3C" w:rsidP="00A42B3C">
      <w:pPr>
        <w:bidi w:val="0"/>
        <w:spacing w:after="0" w:line="360" w:lineRule="auto"/>
        <w:jc w:val="both"/>
        <w:rPr>
          <w:rFonts w:asciiTheme="majorBidi" w:hAnsiTheme="majorBidi" w:cstheme="majorBidi"/>
          <w:b/>
          <w:bCs/>
          <w:sz w:val="28"/>
          <w:szCs w:val="28"/>
          <w:lang w:bidi="ar-IQ"/>
        </w:rPr>
      </w:pPr>
      <w:r>
        <w:rPr>
          <w:rFonts w:asciiTheme="majorBidi" w:hAnsiTheme="majorBidi" w:cstheme="majorBidi"/>
          <w:b/>
          <w:bCs/>
          <w:sz w:val="28"/>
          <w:szCs w:val="28"/>
          <w:lang w:bidi="ar-IQ"/>
        </w:rPr>
        <w:t>3-</w:t>
      </w:r>
      <w:r w:rsidRPr="00A42B3C">
        <w:rPr>
          <w:rFonts w:asciiTheme="majorBidi" w:hAnsiTheme="majorBidi" w:cstheme="majorBidi"/>
          <w:b/>
          <w:bCs/>
          <w:sz w:val="28"/>
          <w:szCs w:val="28"/>
          <w:lang w:bidi="ar-IQ"/>
        </w:rPr>
        <w:t>White superficial onychomycosis (WSO)   Trichophyton mentagrophytes</w:t>
      </w:r>
    </w:p>
    <w:p w14:paraId="73959F4E" w14:textId="77777777" w:rsidR="00A42B3C" w:rsidRDefault="00A42B3C" w:rsidP="00A42B3C">
      <w:pPr>
        <w:bidi w:val="0"/>
        <w:spacing w:after="0" w:line="360" w:lineRule="auto"/>
        <w:jc w:val="both"/>
        <w:rPr>
          <w:rFonts w:asciiTheme="majorBidi" w:hAnsiTheme="majorBidi" w:cstheme="majorBidi"/>
          <w:b/>
          <w:bCs/>
          <w:sz w:val="28"/>
          <w:szCs w:val="28"/>
          <w:lang w:bidi="ar-IQ"/>
        </w:rPr>
      </w:pPr>
    </w:p>
    <w:p w14:paraId="73959F4F" w14:textId="77777777" w:rsidR="00A42B3C" w:rsidRPr="00A42B3C" w:rsidRDefault="00A42B3C" w:rsidP="00A42B3C">
      <w:pPr>
        <w:bidi w:val="0"/>
        <w:spacing w:after="0" w:line="360" w:lineRule="auto"/>
        <w:jc w:val="both"/>
        <w:rPr>
          <w:rFonts w:asciiTheme="majorBidi" w:hAnsiTheme="majorBidi" w:cstheme="majorBidi"/>
          <w:b/>
          <w:bCs/>
          <w:sz w:val="28"/>
          <w:szCs w:val="28"/>
          <w:lang w:bidi="ar-IQ"/>
        </w:rPr>
      </w:pPr>
      <w:r w:rsidRPr="00A42B3C">
        <w:rPr>
          <w:rFonts w:asciiTheme="majorBidi" w:hAnsiTheme="majorBidi" w:cstheme="majorBidi"/>
          <w:b/>
          <w:bCs/>
          <w:sz w:val="28"/>
          <w:szCs w:val="28"/>
          <w:lang w:bidi="ar-IQ"/>
        </w:rPr>
        <w:t xml:space="preserve">Tinea </w:t>
      </w:r>
      <w:proofErr w:type="gramStart"/>
      <w:r w:rsidRPr="00A42B3C">
        <w:rPr>
          <w:rFonts w:asciiTheme="majorBidi" w:hAnsiTheme="majorBidi" w:cstheme="majorBidi"/>
          <w:b/>
          <w:bCs/>
          <w:sz w:val="28"/>
          <w:szCs w:val="28"/>
          <w:lang w:bidi="ar-IQ"/>
        </w:rPr>
        <w:t>corporis(</w:t>
      </w:r>
      <w:proofErr w:type="gramEnd"/>
      <w:r w:rsidRPr="00A42B3C">
        <w:rPr>
          <w:rFonts w:asciiTheme="majorBidi" w:hAnsiTheme="majorBidi" w:cstheme="majorBidi"/>
          <w:b/>
          <w:bCs/>
          <w:sz w:val="28"/>
          <w:szCs w:val="28"/>
          <w:lang w:bidi="ar-IQ"/>
        </w:rPr>
        <w:t>Body Ringworm</w:t>
      </w:r>
      <w:r>
        <w:rPr>
          <w:rFonts w:asciiTheme="majorBidi" w:hAnsiTheme="majorBidi" w:cs="Times New Roman"/>
          <w:b/>
          <w:bCs/>
          <w:sz w:val="28"/>
          <w:szCs w:val="28"/>
          <w:lang w:bidi="ar-IQ"/>
        </w:rPr>
        <w:t>)</w:t>
      </w:r>
    </w:p>
    <w:p w14:paraId="73959F50" w14:textId="77777777" w:rsidR="00A42B3C" w:rsidRPr="00A42B3C" w:rsidRDefault="00A42B3C" w:rsidP="00A42B3C">
      <w:pPr>
        <w:bidi w:val="0"/>
        <w:spacing w:after="0" w:line="360" w:lineRule="auto"/>
        <w:jc w:val="both"/>
        <w:rPr>
          <w:rFonts w:asciiTheme="majorBidi" w:hAnsiTheme="majorBidi" w:cstheme="majorBidi"/>
          <w:sz w:val="28"/>
          <w:szCs w:val="28"/>
          <w:lang w:bidi="ar-IQ"/>
        </w:rPr>
      </w:pPr>
      <w:r w:rsidRPr="00A42B3C">
        <w:rPr>
          <w:rFonts w:asciiTheme="majorBidi" w:hAnsiTheme="majorBidi" w:cs="Times New Roman"/>
          <w:sz w:val="28"/>
          <w:szCs w:val="28"/>
          <w:rtl/>
          <w:lang w:bidi="ar-IQ"/>
        </w:rPr>
        <w:t xml:space="preserve">   </w:t>
      </w:r>
      <w:r w:rsidRPr="00A42B3C">
        <w:rPr>
          <w:rFonts w:asciiTheme="majorBidi" w:hAnsiTheme="majorBidi" w:cstheme="majorBidi"/>
          <w:sz w:val="28"/>
          <w:szCs w:val="28"/>
          <w:lang w:bidi="ar-IQ"/>
        </w:rPr>
        <w:t>Tinea corporis is a dermatophyte infection of the face, trunk, and extremities</w:t>
      </w:r>
      <w:r w:rsidRPr="00A42B3C">
        <w:rPr>
          <w:rFonts w:asciiTheme="majorBidi" w:hAnsiTheme="majorBidi" w:cs="Times New Roman"/>
          <w:sz w:val="28"/>
          <w:szCs w:val="28"/>
          <w:rtl/>
          <w:lang w:bidi="ar-IQ"/>
        </w:rPr>
        <w:t xml:space="preserve">. </w:t>
      </w:r>
    </w:p>
    <w:p w14:paraId="73959F51" w14:textId="77777777" w:rsidR="00A42B3C" w:rsidRPr="00A42B3C" w:rsidRDefault="00A42B3C" w:rsidP="00A42B3C">
      <w:pPr>
        <w:bidi w:val="0"/>
        <w:spacing w:after="0" w:line="360" w:lineRule="auto"/>
        <w:jc w:val="both"/>
        <w:rPr>
          <w:rFonts w:asciiTheme="majorBidi" w:hAnsiTheme="majorBidi" w:cstheme="majorBidi"/>
          <w:sz w:val="28"/>
          <w:szCs w:val="28"/>
          <w:lang w:bidi="ar-IQ"/>
        </w:rPr>
      </w:pPr>
      <w:r w:rsidRPr="00A42B3C">
        <w:rPr>
          <w:rFonts w:asciiTheme="majorBidi" w:hAnsiTheme="majorBidi" w:cstheme="majorBidi"/>
          <w:sz w:val="28"/>
          <w:szCs w:val="28"/>
          <w:lang w:bidi="ar-IQ"/>
        </w:rPr>
        <w:t xml:space="preserve">Common causes are T. mentagrophytes, T. rubrum, and M. </w:t>
      </w:r>
      <w:proofErr w:type="spellStart"/>
      <w:r w:rsidRPr="00A42B3C">
        <w:rPr>
          <w:rFonts w:asciiTheme="majorBidi" w:hAnsiTheme="majorBidi" w:cstheme="majorBidi"/>
          <w:sz w:val="28"/>
          <w:szCs w:val="28"/>
          <w:lang w:bidi="ar-IQ"/>
        </w:rPr>
        <w:t>canis</w:t>
      </w:r>
      <w:proofErr w:type="spellEnd"/>
      <w:r w:rsidRPr="00A42B3C">
        <w:rPr>
          <w:rFonts w:asciiTheme="majorBidi" w:hAnsiTheme="majorBidi" w:cs="Times New Roman"/>
          <w:sz w:val="28"/>
          <w:szCs w:val="28"/>
          <w:rtl/>
          <w:lang w:bidi="ar-IQ"/>
        </w:rPr>
        <w:t>.</w:t>
      </w:r>
    </w:p>
    <w:p w14:paraId="73959F52" w14:textId="77777777" w:rsidR="00A42B3C" w:rsidRDefault="00A42B3C" w:rsidP="00A42B3C">
      <w:pPr>
        <w:bidi w:val="0"/>
        <w:spacing w:after="0" w:line="360" w:lineRule="auto"/>
        <w:jc w:val="both"/>
        <w:rPr>
          <w:rFonts w:asciiTheme="majorBidi" w:hAnsiTheme="majorBidi" w:cstheme="majorBidi"/>
          <w:sz w:val="28"/>
          <w:szCs w:val="28"/>
          <w:lang w:bidi="ar-IQ"/>
        </w:rPr>
      </w:pPr>
      <w:r w:rsidRPr="00A42B3C">
        <w:rPr>
          <w:rFonts w:asciiTheme="majorBidi" w:hAnsiTheme="majorBidi" w:cstheme="majorBidi"/>
          <w:sz w:val="28"/>
          <w:szCs w:val="28"/>
          <w:lang w:bidi="ar-IQ"/>
        </w:rPr>
        <w:t>Tinea corporis causes pink-to-red annular patches and plaques with raised scaly borders that expand peripherally and tend to clear centrally.</w:t>
      </w:r>
    </w:p>
    <w:p w14:paraId="73959F53" w14:textId="77777777" w:rsidR="00B76813" w:rsidRDefault="00B76813" w:rsidP="00B76813">
      <w:pPr>
        <w:bidi w:val="0"/>
        <w:spacing w:after="0" w:line="360" w:lineRule="auto"/>
        <w:jc w:val="both"/>
        <w:rPr>
          <w:rFonts w:asciiTheme="majorBidi" w:hAnsiTheme="majorBidi" w:cstheme="majorBidi"/>
          <w:sz w:val="28"/>
          <w:szCs w:val="28"/>
          <w:lang w:bidi="ar-IQ"/>
        </w:rPr>
      </w:pPr>
      <w:r>
        <w:rPr>
          <w:rFonts w:asciiTheme="majorBidi" w:hAnsiTheme="majorBidi" w:cstheme="majorBidi"/>
          <w:noProof/>
          <w:sz w:val="28"/>
          <w:szCs w:val="28"/>
        </w:rPr>
        <w:lastRenderedPageBreak/>
        <w:drawing>
          <wp:inline distT="0" distB="0" distL="0" distR="0" wp14:anchorId="73959F80" wp14:editId="73959F81">
            <wp:extent cx="4572635" cy="342963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14:paraId="73959F54" w14:textId="77777777" w:rsidR="00B76813" w:rsidRDefault="00B76813" w:rsidP="00B76813">
      <w:pPr>
        <w:tabs>
          <w:tab w:val="left" w:pos="6698"/>
        </w:tabs>
        <w:bidi w:val="0"/>
        <w:rPr>
          <w:rFonts w:asciiTheme="majorBidi" w:hAnsiTheme="majorBidi" w:cstheme="majorBidi"/>
          <w:sz w:val="28"/>
          <w:szCs w:val="28"/>
          <w:lang w:bidi="ar-IQ"/>
        </w:rPr>
      </w:pPr>
      <w:r>
        <w:rPr>
          <w:rFonts w:asciiTheme="majorBidi" w:hAnsiTheme="majorBidi" w:cstheme="majorBidi"/>
          <w:sz w:val="28"/>
          <w:szCs w:val="28"/>
          <w:lang w:bidi="ar-IQ"/>
        </w:rPr>
        <w:tab/>
      </w:r>
    </w:p>
    <w:p w14:paraId="73959F55" w14:textId="28E4953D" w:rsidR="00B76813" w:rsidRPr="00B76813" w:rsidRDefault="00366743" w:rsidP="00B76813">
      <w:pPr>
        <w:tabs>
          <w:tab w:val="left" w:pos="6698"/>
        </w:tabs>
        <w:bidi w:val="0"/>
        <w:spacing w:after="0" w:line="360" w:lineRule="auto"/>
        <w:jc w:val="both"/>
        <w:rPr>
          <w:rFonts w:asciiTheme="majorBidi" w:hAnsiTheme="majorBidi" w:cstheme="majorBidi"/>
          <w:b/>
          <w:bCs/>
          <w:sz w:val="28"/>
          <w:szCs w:val="28"/>
          <w:lang w:bidi="ar-IQ"/>
        </w:rPr>
      </w:pPr>
      <w:r>
        <w:rPr>
          <w:rFonts w:asciiTheme="majorBidi" w:hAnsiTheme="majorBidi" w:cstheme="majorBidi"/>
          <w:b/>
          <w:bCs/>
          <w:sz w:val="28"/>
          <w:szCs w:val="28"/>
          <w:lang w:bidi="ar-IQ"/>
        </w:rPr>
        <w:t>T</w:t>
      </w:r>
      <w:r w:rsidRPr="00B76813">
        <w:rPr>
          <w:rFonts w:asciiTheme="majorBidi" w:hAnsiTheme="majorBidi" w:cstheme="majorBidi"/>
          <w:b/>
          <w:bCs/>
          <w:sz w:val="28"/>
          <w:szCs w:val="28"/>
          <w:lang w:bidi="ar-IQ"/>
        </w:rPr>
        <w:t xml:space="preserve">inea </w:t>
      </w:r>
      <w:r>
        <w:rPr>
          <w:rFonts w:asciiTheme="majorBidi" w:hAnsiTheme="majorBidi" w:cstheme="majorBidi"/>
          <w:b/>
          <w:bCs/>
          <w:sz w:val="28"/>
          <w:szCs w:val="28"/>
          <w:lang w:bidi="ar-IQ"/>
        </w:rPr>
        <w:t>B</w:t>
      </w:r>
      <w:r w:rsidRPr="00B76813">
        <w:rPr>
          <w:rFonts w:asciiTheme="majorBidi" w:hAnsiTheme="majorBidi" w:cstheme="majorBidi"/>
          <w:b/>
          <w:bCs/>
          <w:sz w:val="28"/>
          <w:szCs w:val="28"/>
          <w:lang w:bidi="ar-IQ"/>
        </w:rPr>
        <w:t>arbae</w:t>
      </w:r>
    </w:p>
    <w:p w14:paraId="73959F56" w14:textId="77777777" w:rsidR="00B76813" w:rsidRPr="00B76813" w:rsidRDefault="00B76813" w:rsidP="00B76813">
      <w:pPr>
        <w:tabs>
          <w:tab w:val="left" w:pos="6698"/>
        </w:tabs>
        <w:bidi w:val="0"/>
        <w:spacing w:after="0" w:line="360" w:lineRule="auto"/>
        <w:jc w:val="both"/>
        <w:rPr>
          <w:rFonts w:asciiTheme="majorBidi" w:hAnsiTheme="majorBidi" w:cstheme="majorBidi"/>
          <w:sz w:val="28"/>
          <w:szCs w:val="28"/>
          <w:lang w:bidi="ar-IQ"/>
        </w:rPr>
      </w:pPr>
      <w:r>
        <w:rPr>
          <w:rFonts w:asciiTheme="majorBidi" w:hAnsiTheme="majorBidi" w:cs="Times New Roman"/>
          <w:sz w:val="28"/>
          <w:szCs w:val="28"/>
          <w:lang w:bidi="ar-IQ"/>
        </w:rPr>
        <w:t>(</w:t>
      </w:r>
      <w:r w:rsidRPr="00B76813">
        <w:rPr>
          <w:rFonts w:asciiTheme="majorBidi" w:hAnsiTheme="majorBidi" w:cstheme="majorBidi"/>
          <w:sz w:val="28"/>
          <w:szCs w:val="28"/>
          <w:lang w:bidi="ar-IQ"/>
        </w:rPr>
        <w:t>Barber's Itch</w:t>
      </w:r>
      <w:r>
        <w:rPr>
          <w:rFonts w:asciiTheme="majorBidi" w:hAnsiTheme="majorBidi" w:cs="Times New Roman"/>
          <w:sz w:val="28"/>
          <w:szCs w:val="28"/>
          <w:lang w:bidi="ar-IQ"/>
        </w:rPr>
        <w:t>)</w:t>
      </w:r>
    </w:p>
    <w:p w14:paraId="73959F57" w14:textId="77777777" w:rsidR="00B76813" w:rsidRPr="00B76813" w:rsidRDefault="00B76813" w:rsidP="00B76813">
      <w:pPr>
        <w:tabs>
          <w:tab w:val="left" w:pos="6698"/>
        </w:tabs>
        <w:bidi w:val="0"/>
        <w:spacing w:after="0" w:line="360" w:lineRule="auto"/>
        <w:jc w:val="both"/>
        <w:rPr>
          <w:rFonts w:asciiTheme="majorBidi" w:hAnsiTheme="majorBidi" w:cstheme="majorBidi"/>
          <w:sz w:val="28"/>
          <w:szCs w:val="28"/>
          <w:lang w:bidi="ar-IQ"/>
        </w:rPr>
      </w:pPr>
      <w:r w:rsidRPr="00B76813">
        <w:rPr>
          <w:rFonts w:asciiTheme="majorBidi" w:hAnsiTheme="majorBidi" w:cs="Times New Roman"/>
          <w:sz w:val="28"/>
          <w:szCs w:val="28"/>
          <w:rtl/>
          <w:lang w:bidi="ar-IQ"/>
        </w:rPr>
        <w:t xml:space="preserve">   </w:t>
      </w:r>
      <w:r w:rsidRPr="00B76813">
        <w:rPr>
          <w:rFonts w:asciiTheme="majorBidi" w:hAnsiTheme="majorBidi" w:cstheme="majorBidi"/>
          <w:sz w:val="28"/>
          <w:szCs w:val="28"/>
          <w:lang w:bidi="ar-IQ"/>
        </w:rPr>
        <w:t xml:space="preserve">Tinea barbae is a dermatophyte infection of the beard area most often caused by Trichophyton mentagrophytes or T. </w:t>
      </w:r>
      <w:proofErr w:type="spellStart"/>
      <w:r w:rsidRPr="00B76813">
        <w:rPr>
          <w:rFonts w:asciiTheme="majorBidi" w:hAnsiTheme="majorBidi" w:cstheme="majorBidi"/>
          <w:sz w:val="28"/>
          <w:szCs w:val="28"/>
          <w:lang w:bidi="ar-IQ"/>
        </w:rPr>
        <w:t>verrucosum</w:t>
      </w:r>
      <w:proofErr w:type="spellEnd"/>
      <w:r w:rsidRPr="00B76813">
        <w:rPr>
          <w:rFonts w:asciiTheme="majorBidi" w:hAnsiTheme="majorBidi" w:cs="Times New Roman"/>
          <w:sz w:val="28"/>
          <w:szCs w:val="28"/>
          <w:rtl/>
          <w:lang w:bidi="ar-IQ"/>
        </w:rPr>
        <w:t xml:space="preserve">. </w:t>
      </w:r>
    </w:p>
    <w:p w14:paraId="73959F58" w14:textId="77777777" w:rsidR="00B76813" w:rsidRDefault="00B76813" w:rsidP="00B76813">
      <w:pPr>
        <w:tabs>
          <w:tab w:val="left" w:pos="6698"/>
        </w:tabs>
        <w:bidi w:val="0"/>
        <w:spacing w:after="0" w:line="360" w:lineRule="auto"/>
        <w:jc w:val="both"/>
        <w:rPr>
          <w:rFonts w:asciiTheme="majorBidi" w:hAnsiTheme="majorBidi" w:cstheme="majorBidi"/>
          <w:sz w:val="28"/>
          <w:szCs w:val="28"/>
          <w:lang w:bidi="ar-IQ"/>
        </w:rPr>
      </w:pPr>
      <w:r w:rsidRPr="00B76813">
        <w:rPr>
          <w:rFonts w:asciiTheme="majorBidi" w:hAnsiTheme="majorBidi" w:cstheme="majorBidi"/>
          <w:sz w:val="28"/>
          <w:szCs w:val="28"/>
          <w:lang w:bidi="ar-IQ"/>
        </w:rPr>
        <w:t>Tinea barbae manifests as superficial annular lesions, but deeper infection similar to folliculitis may occur. It may also occur as an inflammatory kerion that can result in scarring hair loss.</w:t>
      </w:r>
    </w:p>
    <w:p w14:paraId="73959F59" w14:textId="77777777" w:rsidR="00B76813" w:rsidRDefault="00B76813" w:rsidP="00B76813">
      <w:pPr>
        <w:tabs>
          <w:tab w:val="left" w:pos="6698"/>
        </w:tabs>
        <w:bidi w:val="0"/>
        <w:spacing w:after="0" w:line="360" w:lineRule="auto"/>
        <w:jc w:val="center"/>
        <w:rPr>
          <w:rFonts w:asciiTheme="majorBidi" w:hAnsiTheme="majorBidi" w:cstheme="majorBidi"/>
          <w:sz w:val="28"/>
          <w:szCs w:val="28"/>
          <w:lang w:bidi="ar-IQ"/>
        </w:rPr>
      </w:pPr>
      <w:r>
        <w:rPr>
          <w:rFonts w:asciiTheme="majorBidi" w:hAnsiTheme="majorBidi" w:cstheme="majorBidi"/>
          <w:noProof/>
          <w:sz w:val="28"/>
          <w:szCs w:val="28"/>
        </w:rPr>
        <w:lastRenderedPageBreak/>
        <w:drawing>
          <wp:inline distT="0" distB="0" distL="0" distR="0" wp14:anchorId="73959F82" wp14:editId="73959F83">
            <wp:extent cx="3023870" cy="2950845"/>
            <wp:effectExtent l="0" t="0" r="508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23870" cy="2950845"/>
                    </a:xfrm>
                    <a:prstGeom prst="rect">
                      <a:avLst/>
                    </a:prstGeom>
                    <a:noFill/>
                  </pic:spPr>
                </pic:pic>
              </a:graphicData>
            </a:graphic>
          </wp:inline>
        </w:drawing>
      </w:r>
    </w:p>
    <w:p w14:paraId="73959F5A" w14:textId="77777777" w:rsidR="00B76813" w:rsidRDefault="00B76813" w:rsidP="00B76813">
      <w:pPr>
        <w:tabs>
          <w:tab w:val="left" w:pos="6698"/>
        </w:tabs>
        <w:bidi w:val="0"/>
        <w:spacing w:after="0" w:line="360" w:lineRule="auto"/>
        <w:jc w:val="both"/>
        <w:rPr>
          <w:rFonts w:asciiTheme="majorBidi" w:hAnsiTheme="majorBidi" w:cstheme="majorBidi"/>
          <w:b/>
          <w:bCs/>
          <w:sz w:val="28"/>
          <w:szCs w:val="28"/>
          <w:lang w:bidi="ar-IQ"/>
        </w:rPr>
      </w:pPr>
    </w:p>
    <w:p w14:paraId="73959F5B" w14:textId="77777777" w:rsidR="00B76813" w:rsidRPr="00B76813" w:rsidRDefault="00B76813" w:rsidP="00B76813">
      <w:pPr>
        <w:tabs>
          <w:tab w:val="left" w:pos="6698"/>
        </w:tabs>
        <w:bidi w:val="0"/>
        <w:spacing w:after="0" w:line="360" w:lineRule="auto"/>
        <w:jc w:val="both"/>
        <w:rPr>
          <w:rFonts w:asciiTheme="majorBidi" w:hAnsiTheme="majorBidi" w:cstheme="majorBidi"/>
          <w:b/>
          <w:bCs/>
          <w:sz w:val="28"/>
          <w:szCs w:val="28"/>
          <w:lang w:bidi="ar-IQ"/>
        </w:rPr>
      </w:pPr>
      <w:r w:rsidRPr="00B76813">
        <w:rPr>
          <w:rFonts w:asciiTheme="majorBidi" w:hAnsiTheme="majorBidi" w:cstheme="majorBidi"/>
          <w:b/>
          <w:bCs/>
          <w:sz w:val="28"/>
          <w:szCs w:val="28"/>
          <w:lang w:bidi="ar-IQ"/>
        </w:rPr>
        <w:t xml:space="preserve">Tinea </w:t>
      </w:r>
      <w:proofErr w:type="gramStart"/>
      <w:r w:rsidRPr="00B76813">
        <w:rPr>
          <w:rFonts w:asciiTheme="majorBidi" w:hAnsiTheme="majorBidi" w:cstheme="majorBidi"/>
          <w:b/>
          <w:bCs/>
          <w:sz w:val="28"/>
          <w:szCs w:val="28"/>
          <w:lang w:bidi="ar-IQ"/>
        </w:rPr>
        <w:t>capitis(</w:t>
      </w:r>
      <w:proofErr w:type="gramEnd"/>
      <w:r w:rsidRPr="00B76813">
        <w:rPr>
          <w:rFonts w:asciiTheme="majorBidi" w:hAnsiTheme="majorBidi" w:cstheme="majorBidi"/>
          <w:b/>
          <w:bCs/>
          <w:sz w:val="28"/>
          <w:szCs w:val="28"/>
          <w:lang w:bidi="ar-IQ"/>
        </w:rPr>
        <w:t>Scalp Ringworm</w:t>
      </w:r>
      <w:r w:rsidRPr="00B76813">
        <w:rPr>
          <w:rFonts w:asciiTheme="majorBidi" w:hAnsiTheme="majorBidi" w:cs="Times New Roman"/>
          <w:b/>
          <w:bCs/>
          <w:sz w:val="28"/>
          <w:szCs w:val="28"/>
          <w:lang w:bidi="ar-IQ"/>
        </w:rPr>
        <w:t>)</w:t>
      </w:r>
    </w:p>
    <w:p w14:paraId="73959F5C" w14:textId="77777777" w:rsidR="00B76813" w:rsidRPr="00B76813" w:rsidRDefault="00B76813" w:rsidP="00B76813">
      <w:pPr>
        <w:tabs>
          <w:tab w:val="left" w:pos="6698"/>
        </w:tabs>
        <w:bidi w:val="0"/>
        <w:spacing w:after="0" w:line="360" w:lineRule="auto"/>
        <w:jc w:val="both"/>
        <w:rPr>
          <w:rFonts w:asciiTheme="majorBidi" w:hAnsiTheme="majorBidi" w:cstheme="majorBidi"/>
          <w:sz w:val="28"/>
          <w:szCs w:val="28"/>
          <w:lang w:bidi="ar-IQ"/>
        </w:rPr>
      </w:pPr>
      <w:r w:rsidRPr="00B76813">
        <w:rPr>
          <w:rFonts w:asciiTheme="majorBidi" w:hAnsiTheme="majorBidi" w:cstheme="majorBidi"/>
          <w:sz w:val="28"/>
          <w:szCs w:val="28"/>
          <w:lang w:bidi="ar-IQ"/>
        </w:rPr>
        <w:t xml:space="preserve">Tinea capitis refers to dermatophytosis of the scalp. Three types of in vivo hair invasion are </w:t>
      </w:r>
      <w:proofErr w:type="spellStart"/>
      <w:r w:rsidRPr="00B76813">
        <w:rPr>
          <w:rFonts w:asciiTheme="majorBidi" w:hAnsiTheme="majorBidi" w:cstheme="majorBidi"/>
          <w:sz w:val="28"/>
          <w:szCs w:val="28"/>
          <w:lang w:bidi="ar-IQ"/>
        </w:rPr>
        <w:t>recognised</w:t>
      </w:r>
      <w:proofErr w:type="spellEnd"/>
      <w:r w:rsidRPr="00B76813">
        <w:rPr>
          <w:rFonts w:asciiTheme="majorBidi" w:hAnsiTheme="majorBidi" w:cs="Times New Roman"/>
          <w:sz w:val="28"/>
          <w:szCs w:val="28"/>
          <w:rtl/>
          <w:lang w:bidi="ar-IQ"/>
        </w:rPr>
        <w:t>:</w:t>
      </w:r>
    </w:p>
    <w:p w14:paraId="73959F5D" w14:textId="77777777" w:rsidR="00B76813" w:rsidRPr="00B76813" w:rsidRDefault="00B76813" w:rsidP="00B76813">
      <w:pPr>
        <w:tabs>
          <w:tab w:val="left" w:pos="6698"/>
        </w:tabs>
        <w:bidi w:val="0"/>
        <w:spacing w:after="0" w:line="360" w:lineRule="auto"/>
        <w:jc w:val="both"/>
        <w:rPr>
          <w:rFonts w:asciiTheme="majorBidi" w:hAnsiTheme="majorBidi" w:cstheme="majorBidi"/>
          <w:sz w:val="28"/>
          <w:szCs w:val="28"/>
          <w:lang w:bidi="ar-IQ"/>
        </w:rPr>
      </w:pPr>
      <w:r>
        <w:rPr>
          <w:rFonts w:asciiTheme="majorBidi" w:hAnsiTheme="majorBidi" w:cs="Times New Roman"/>
          <w:sz w:val="28"/>
          <w:szCs w:val="28"/>
          <w:lang w:bidi="ar-IQ"/>
        </w:rPr>
        <w:t>1-</w:t>
      </w:r>
      <w:r w:rsidRPr="00B76813">
        <w:rPr>
          <w:rFonts w:asciiTheme="majorBidi" w:hAnsiTheme="majorBidi" w:cstheme="majorBidi"/>
          <w:sz w:val="28"/>
          <w:szCs w:val="28"/>
          <w:lang w:bidi="ar-IQ"/>
        </w:rPr>
        <w:t xml:space="preserve">Ectothrix invasion is characterized by the development of arthroconidia on the outside of the hair shaft. The cuticle of the hair is destroyed and infected hairs usually fluoresce a bright greenish yellow </w:t>
      </w:r>
      <w:proofErr w:type="spellStart"/>
      <w:r w:rsidRPr="00B76813">
        <w:rPr>
          <w:rFonts w:asciiTheme="majorBidi" w:hAnsiTheme="majorBidi" w:cstheme="majorBidi"/>
          <w:sz w:val="28"/>
          <w:szCs w:val="28"/>
          <w:lang w:bidi="ar-IQ"/>
        </w:rPr>
        <w:t>colour</w:t>
      </w:r>
      <w:proofErr w:type="spellEnd"/>
      <w:r w:rsidRPr="00B76813">
        <w:rPr>
          <w:rFonts w:asciiTheme="majorBidi" w:hAnsiTheme="majorBidi" w:cstheme="majorBidi"/>
          <w:sz w:val="28"/>
          <w:szCs w:val="28"/>
          <w:lang w:bidi="ar-IQ"/>
        </w:rPr>
        <w:t xml:space="preserve"> under Wood's ultraviolet light. Common agents include M. </w:t>
      </w:r>
      <w:proofErr w:type="spellStart"/>
      <w:r w:rsidRPr="00B76813">
        <w:rPr>
          <w:rFonts w:asciiTheme="majorBidi" w:hAnsiTheme="majorBidi" w:cstheme="majorBidi"/>
          <w:sz w:val="28"/>
          <w:szCs w:val="28"/>
          <w:lang w:bidi="ar-IQ"/>
        </w:rPr>
        <w:t>canis</w:t>
      </w:r>
      <w:proofErr w:type="spellEnd"/>
      <w:r w:rsidRPr="00B76813">
        <w:rPr>
          <w:rFonts w:asciiTheme="majorBidi" w:hAnsiTheme="majorBidi" w:cstheme="majorBidi"/>
          <w:sz w:val="28"/>
          <w:szCs w:val="28"/>
          <w:lang w:bidi="ar-IQ"/>
        </w:rPr>
        <w:t xml:space="preserve">, and T. </w:t>
      </w:r>
      <w:proofErr w:type="spellStart"/>
      <w:r w:rsidRPr="00B76813">
        <w:rPr>
          <w:rFonts w:asciiTheme="majorBidi" w:hAnsiTheme="majorBidi" w:cstheme="majorBidi"/>
          <w:sz w:val="28"/>
          <w:szCs w:val="28"/>
          <w:lang w:bidi="ar-IQ"/>
        </w:rPr>
        <w:t>verrucosum</w:t>
      </w:r>
      <w:proofErr w:type="spellEnd"/>
      <w:r w:rsidRPr="00B76813">
        <w:rPr>
          <w:rFonts w:asciiTheme="majorBidi" w:hAnsiTheme="majorBidi" w:cs="Times New Roman"/>
          <w:sz w:val="28"/>
          <w:szCs w:val="28"/>
          <w:rtl/>
          <w:lang w:bidi="ar-IQ"/>
        </w:rPr>
        <w:t xml:space="preserve">. </w:t>
      </w:r>
    </w:p>
    <w:p w14:paraId="73959F5E" w14:textId="77777777" w:rsidR="00B76813" w:rsidRDefault="00B76813" w:rsidP="00B76813">
      <w:pPr>
        <w:tabs>
          <w:tab w:val="left" w:pos="6698"/>
        </w:tabs>
        <w:bidi w:val="0"/>
        <w:spacing w:after="0" w:line="360" w:lineRule="auto"/>
        <w:jc w:val="both"/>
        <w:rPr>
          <w:rFonts w:asciiTheme="majorBidi" w:hAnsiTheme="majorBidi" w:cstheme="majorBidi"/>
          <w:sz w:val="28"/>
          <w:szCs w:val="28"/>
          <w:lang w:bidi="ar-IQ"/>
        </w:rPr>
      </w:pPr>
      <w:r>
        <w:rPr>
          <w:rFonts w:asciiTheme="majorBidi" w:hAnsiTheme="majorBidi" w:cs="Times New Roman"/>
          <w:sz w:val="28"/>
          <w:szCs w:val="28"/>
          <w:lang w:bidi="ar-IQ"/>
        </w:rPr>
        <w:t>2-</w:t>
      </w:r>
      <w:r w:rsidRPr="00B76813">
        <w:rPr>
          <w:rFonts w:asciiTheme="majorBidi" w:hAnsiTheme="majorBidi" w:cs="Times New Roman"/>
          <w:sz w:val="28"/>
          <w:szCs w:val="28"/>
          <w:rtl/>
          <w:lang w:bidi="ar-IQ"/>
        </w:rPr>
        <w:t xml:space="preserve">. </w:t>
      </w:r>
      <w:r w:rsidRPr="00B76813">
        <w:rPr>
          <w:rFonts w:asciiTheme="majorBidi" w:hAnsiTheme="majorBidi" w:cstheme="majorBidi"/>
          <w:sz w:val="28"/>
          <w:szCs w:val="28"/>
          <w:lang w:bidi="ar-IQ"/>
        </w:rPr>
        <w:t xml:space="preserve">Endothrix hair invasion is </w:t>
      </w:r>
      <w:proofErr w:type="spellStart"/>
      <w:r w:rsidRPr="00B76813">
        <w:rPr>
          <w:rFonts w:asciiTheme="majorBidi" w:hAnsiTheme="majorBidi" w:cstheme="majorBidi"/>
          <w:sz w:val="28"/>
          <w:szCs w:val="28"/>
          <w:lang w:bidi="ar-IQ"/>
        </w:rPr>
        <w:t>characterised</w:t>
      </w:r>
      <w:proofErr w:type="spellEnd"/>
      <w:r w:rsidRPr="00B76813">
        <w:rPr>
          <w:rFonts w:asciiTheme="majorBidi" w:hAnsiTheme="majorBidi" w:cstheme="majorBidi"/>
          <w:sz w:val="28"/>
          <w:szCs w:val="28"/>
          <w:lang w:bidi="ar-IQ"/>
        </w:rPr>
        <w:t xml:space="preserve"> by the development of arthroconidia within the hair shaft only. The cuticle of the hair remains intact and infected hairs do not fluoresce under Wood's ultraviolet light. All endothrix producing agents are anthropophilic T. tonsurans</w:t>
      </w:r>
      <w:r w:rsidRPr="00B76813">
        <w:rPr>
          <w:rFonts w:asciiTheme="majorBidi" w:hAnsiTheme="majorBidi" w:cs="Times New Roman"/>
          <w:sz w:val="28"/>
          <w:szCs w:val="28"/>
          <w:rtl/>
          <w:lang w:bidi="ar-IQ"/>
        </w:rPr>
        <w:t xml:space="preserve">. </w:t>
      </w:r>
    </w:p>
    <w:p w14:paraId="73959F5F" w14:textId="77777777" w:rsidR="00B76813" w:rsidRPr="00B76813" w:rsidRDefault="00B76813" w:rsidP="00B76813">
      <w:pPr>
        <w:tabs>
          <w:tab w:val="left" w:pos="6698"/>
        </w:tabs>
        <w:bidi w:val="0"/>
        <w:spacing w:after="0" w:line="360" w:lineRule="auto"/>
        <w:jc w:val="both"/>
        <w:rPr>
          <w:rFonts w:asciiTheme="majorBidi" w:hAnsiTheme="majorBidi" w:cstheme="majorBidi"/>
          <w:sz w:val="28"/>
          <w:szCs w:val="28"/>
          <w:lang w:bidi="ar-IQ"/>
        </w:rPr>
      </w:pPr>
    </w:p>
    <w:p w14:paraId="73959F60" w14:textId="77777777" w:rsidR="00B76813" w:rsidRPr="00B76813" w:rsidRDefault="00B76813" w:rsidP="00B76813">
      <w:pPr>
        <w:tabs>
          <w:tab w:val="left" w:pos="6698"/>
        </w:tabs>
        <w:bidi w:val="0"/>
        <w:spacing w:after="0" w:line="360" w:lineRule="auto"/>
        <w:jc w:val="both"/>
        <w:rPr>
          <w:rFonts w:asciiTheme="majorBidi" w:hAnsiTheme="majorBidi" w:cstheme="majorBidi"/>
          <w:sz w:val="28"/>
          <w:szCs w:val="28"/>
          <w:lang w:bidi="ar-IQ"/>
        </w:rPr>
      </w:pPr>
      <w:r>
        <w:rPr>
          <w:rFonts w:asciiTheme="majorBidi" w:hAnsiTheme="majorBidi" w:cs="Times New Roman"/>
          <w:sz w:val="28"/>
          <w:szCs w:val="28"/>
          <w:lang w:bidi="ar-IQ"/>
        </w:rPr>
        <w:t>3-</w:t>
      </w:r>
      <w:r w:rsidRPr="00B76813">
        <w:rPr>
          <w:rFonts w:asciiTheme="majorBidi" w:hAnsiTheme="majorBidi" w:cs="Times New Roman"/>
          <w:sz w:val="28"/>
          <w:szCs w:val="28"/>
          <w:rtl/>
          <w:lang w:bidi="ar-IQ"/>
        </w:rPr>
        <w:t xml:space="preserve">. </w:t>
      </w:r>
      <w:r w:rsidRPr="00B76813">
        <w:rPr>
          <w:rFonts w:asciiTheme="majorBidi" w:hAnsiTheme="majorBidi" w:cstheme="majorBidi"/>
          <w:sz w:val="28"/>
          <w:szCs w:val="28"/>
          <w:lang w:bidi="ar-IQ"/>
        </w:rPr>
        <w:t xml:space="preserve">Favus usually caused by T. </w:t>
      </w:r>
      <w:proofErr w:type="spellStart"/>
      <w:r w:rsidRPr="00B76813">
        <w:rPr>
          <w:rFonts w:asciiTheme="majorBidi" w:hAnsiTheme="majorBidi" w:cstheme="majorBidi"/>
          <w:sz w:val="28"/>
          <w:szCs w:val="28"/>
          <w:lang w:bidi="ar-IQ"/>
        </w:rPr>
        <w:t>schoenleinii</w:t>
      </w:r>
      <w:proofErr w:type="spellEnd"/>
      <w:r w:rsidRPr="00B76813">
        <w:rPr>
          <w:rFonts w:asciiTheme="majorBidi" w:hAnsiTheme="majorBidi" w:cstheme="majorBidi"/>
          <w:sz w:val="28"/>
          <w:szCs w:val="28"/>
          <w:lang w:bidi="ar-IQ"/>
        </w:rPr>
        <w:t>, produces favus-like crusts and corresponding hair loss</w:t>
      </w:r>
      <w:r w:rsidRPr="00B76813">
        <w:rPr>
          <w:rFonts w:asciiTheme="majorBidi" w:hAnsiTheme="majorBidi" w:cs="Times New Roman"/>
          <w:sz w:val="28"/>
          <w:szCs w:val="28"/>
          <w:rtl/>
          <w:lang w:bidi="ar-IQ"/>
        </w:rPr>
        <w:t>.</w:t>
      </w:r>
    </w:p>
    <w:p w14:paraId="73959F61" w14:textId="77777777" w:rsidR="00B76813" w:rsidRDefault="00B76813" w:rsidP="00B76813">
      <w:pPr>
        <w:tabs>
          <w:tab w:val="left" w:pos="6698"/>
        </w:tabs>
        <w:bidi w:val="0"/>
        <w:spacing w:after="0" w:line="360" w:lineRule="auto"/>
        <w:jc w:val="center"/>
        <w:rPr>
          <w:rFonts w:asciiTheme="majorBidi" w:hAnsiTheme="majorBidi" w:cstheme="majorBidi"/>
          <w:sz w:val="28"/>
          <w:szCs w:val="28"/>
          <w:lang w:bidi="ar-IQ"/>
        </w:rPr>
      </w:pPr>
      <w:r>
        <w:rPr>
          <w:rFonts w:asciiTheme="majorBidi" w:hAnsiTheme="majorBidi" w:cstheme="majorBidi"/>
          <w:noProof/>
          <w:sz w:val="28"/>
          <w:szCs w:val="28"/>
        </w:rPr>
        <w:lastRenderedPageBreak/>
        <w:drawing>
          <wp:inline distT="0" distB="0" distL="0" distR="0" wp14:anchorId="73959F84" wp14:editId="73959F85">
            <wp:extent cx="3883660" cy="3816350"/>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83660" cy="3816350"/>
                    </a:xfrm>
                    <a:prstGeom prst="rect">
                      <a:avLst/>
                    </a:prstGeom>
                    <a:noFill/>
                  </pic:spPr>
                </pic:pic>
              </a:graphicData>
            </a:graphic>
          </wp:inline>
        </w:drawing>
      </w:r>
    </w:p>
    <w:p w14:paraId="73959F62" w14:textId="77777777" w:rsidR="00B76813" w:rsidRDefault="00B76813" w:rsidP="00B76813">
      <w:pPr>
        <w:tabs>
          <w:tab w:val="left" w:pos="6698"/>
        </w:tabs>
        <w:bidi w:val="0"/>
        <w:spacing w:after="0" w:line="360" w:lineRule="auto"/>
        <w:jc w:val="center"/>
        <w:rPr>
          <w:rFonts w:asciiTheme="majorBidi" w:hAnsiTheme="majorBidi" w:cstheme="majorBidi"/>
          <w:sz w:val="28"/>
          <w:szCs w:val="28"/>
          <w:lang w:bidi="ar-IQ"/>
        </w:rPr>
      </w:pPr>
    </w:p>
    <w:p w14:paraId="73959F63" w14:textId="77777777" w:rsidR="00B76813" w:rsidRDefault="00B76813" w:rsidP="00B76813">
      <w:pPr>
        <w:tabs>
          <w:tab w:val="left" w:pos="6698"/>
        </w:tabs>
        <w:bidi w:val="0"/>
        <w:spacing w:after="0" w:line="360" w:lineRule="auto"/>
        <w:jc w:val="center"/>
        <w:rPr>
          <w:rFonts w:asciiTheme="majorBidi" w:hAnsiTheme="majorBidi" w:cstheme="majorBidi"/>
          <w:sz w:val="28"/>
          <w:szCs w:val="28"/>
          <w:lang w:bidi="ar-IQ"/>
        </w:rPr>
      </w:pPr>
    </w:p>
    <w:p w14:paraId="73959F64" w14:textId="77777777" w:rsidR="00B76813" w:rsidRPr="00B76813" w:rsidRDefault="00B76813" w:rsidP="00B76813">
      <w:pPr>
        <w:tabs>
          <w:tab w:val="left" w:pos="6698"/>
        </w:tabs>
        <w:spacing w:after="0" w:line="360" w:lineRule="auto"/>
        <w:jc w:val="right"/>
        <w:rPr>
          <w:rFonts w:asciiTheme="majorBidi" w:hAnsiTheme="majorBidi" w:cstheme="majorBidi"/>
          <w:b/>
          <w:bCs/>
          <w:sz w:val="28"/>
          <w:szCs w:val="28"/>
          <w:lang w:bidi="ar-IQ"/>
        </w:rPr>
      </w:pPr>
      <w:r w:rsidRPr="00B76813">
        <w:rPr>
          <w:rFonts w:asciiTheme="majorBidi" w:hAnsiTheme="majorBidi" w:cstheme="majorBidi"/>
          <w:b/>
          <w:bCs/>
          <w:sz w:val="28"/>
          <w:szCs w:val="28"/>
          <w:lang w:bidi="ar-IQ"/>
        </w:rPr>
        <w:t xml:space="preserve">Tinea </w:t>
      </w:r>
      <w:proofErr w:type="spellStart"/>
      <w:r w:rsidRPr="00B76813">
        <w:rPr>
          <w:rFonts w:asciiTheme="majorBidi" w:hAnsiTheme="majorBidi" w:cstheme="majorBidi"/>
          <w:b/>
          <w:bCs/>
          <w:sz w:val="28"/>
          <w:szCs w:val="28"/>
          <w:lang w:bidi="ar-IQ"/>
        </w:rPr>
        <w:t>Manuum</w:t>
      </w:r>
      <w:proofErr w:type="spellEnd"/>
    </w:p>
    <w:p w14:paraId="73959F65" w14:textId="77777777" w:rsidR="00B76813" w:rsidRDefault="00B76813" w:rsidP="00B76813">
      <w:pPr>
        <w:tabs>
          <w:tab w:val="left" w:pos="6698"/>
        </w:tabs>
        <w:bidi w:val="0"/>
        <w:spacing w:after="0" w:line="360" w:lineRule="auto"/>
        <w:rPr>
          <w:rFonts w:asciiTheme="majorBidi" w:hAnsiTheme="majorBidi" w:cstheme="majorBidi"/>
          <w:sz w:val="28"/>
          <w:szCs w:val="28"/>
          <w:lang w:bidi="ar-IQ"/>
        </w:rPr>
      </w:pPr>
      <w:r w:rsidRPr="00B76813">
        <w:rPr>
          <w:rFonts w:asciiTheme="majorBidi" w:hAnsiTheme="majorBidi" w:cstheme="majorBidi"/>
          <w:sz w:val="28"/>
          <w:szCs w:val="28"/>
          <w:lang w:bidi="ar-IQ"/>
        </w:rPr>
        <w:t xml:space="preserve">The palmar and interdigital areas of the hand are usually involved in tinea </w:t>
      </w:r>
      <w:proofErr w:type="spellStart"/>
      <w:r w:rsidRPr="00B76813">
        <w:rPr>
          <w:rFonts w:asciiTheme="majorBidi" w:hAnsiTheme="majorBidi" w:cstheme="majorBidi"/>
          <w:sz w:val="28"/>
          <w:szCs w:val="28"/>
          <w:lang w:bidi="ar-IQ"/>
        </w:rPr>
        <w:t>manuum</w:t>
      </w:r>
      <w:proofErr w:type="spellEnd"/>
      <w:r w:rsidRPr="00B76813">
        <w:rPr>
          <w:rFonts w:asciiTheme="majorBidi" w:hAnsiTheme="majorBidi" w:cstheme="majorBidi"/>
          <w:sz w:val="28"/>
          <w:szCs w:val="28"/>
          <w:lang w:bidi="ar-IQ"/>
        </w:rPr>
        <w:t>, most frequently presenting as unilateral diffuse hyperkeratosis with accentuation of the flexural creases. Most infections are caused by T. rubrum</w:t>
      </w:r>
    </w:p>
    <w:p w14:paraId="73959F66" w14:textId="77777777" w:rsidR="00B4572C" w:rsidRDefault="00B4572C" w:rsidP="00B4572C">
      <w:pPr>
        <w:tabs>
          <w:tab w:val="left" w:pos="6698"/>
        </w:tabs>
        <w:bidi w:val="0"/>
        <w:spacing w:after="0" w:line="360" w:lineRule="auto"/>
        <w:rPr>
          <w:rFonts w:asciiTheme="majorBidi" w:hAnsiTheme="majorBidi" w:cstheme="majorBidi"/>
          <w:sz w:val="28"/>
          <w:szCs w:val="28"/>
          <w:lang w:bidi="ar-IQ"/>
        </w:rPr>
      </w:pPr>
    </w:p>
    <w:p w14:paraId="73959F67" w14:textId="77777777" w:rsidR="00B4572C" w:rsidRDefault="00B4572C" w:rsidP="00B4572C">
      <w:pPr>
        <w:tabs>
          <w:tab w:val="left" w:pos="6698"/>
        </w:tabs>
        <w:bidi w:val="0"/>
        <w:spacing w:after="0" w:line="360" w:lineRule="auto"/>
        <w:rPr>
          <w:rFonts w:asciiTheme="majorBidi" w:hAnsiTheme="majorBidi" w:cstheme="majorBidi"/>
          <w:sz w:val="28"/>
          <w:szCs w:val="28"/>
          <w:lang w:bidi="ar-IQ"/>
        </w:rPr>
      </w:pPr>
    </w:p>
    <w:p w14:paraId="73959F68" w14:textId="77777777" w:rsidR="00B4572C" w:rsidRDefault="00B4572C" w:rsidP="00B4572C">
      <w:pPr>
        <w:tabs>
          <w:tab w:val="left" w:pos="6698"/>
        </w:tabs>
        <w:bidi w:val="0"/>
        <w:spacing w:after="0" w:line="360" w:lineRule="auto"/>
        <w:rPr>
          <w:rFonts w:asciiTheme="majorBidi" w:hAnsiTheme="majorBidi" w:cstheme="majorBidi"/>
          <w:sz w:val="28"/>
          <w:szCs w:val="28"/>
          <w:lang w:bidi="ar-IQ"/>
        </w:rPr>
      </w:pPr>
    </w:p>
    <w:p w14:paraId="73959F69" w14:textId="77777777" w:rsidR="00B4572C" w:rsidRDefault="00B4572C" w:rsidP="00B4572C">
      <w:pPr>
        <w:tabs>
          <w:tab w:val="left" w:pos="6698"/>
        </w:tabs>
        <w:bidi w:val="0"/>
        <w:spacing w:after="0" w:line="360" w:lineRule="auto"/>
        <w:rPr>
          <w:rFonts w:asciiTheme="majorBidi" w:hAnsiTheme="majorBidi" w:cstheme="majorBidi"/>
          <w:sz w:val="28"/>
          <w:szCs w:val="28"/>
          <w:lang w:bidi="ar-IQ"/>
        </w:rPr>
      </w:pPr>
    </w:p>
    <w:p w14:paraId="73959F6A" w14:textId="77777777" w:rsidR="00B4572C" w:rsidRDefault="00B4572C" w:rsidP="00B4572C">
      <w:pPr>
        <w:tabs>
          <w:tab w:val="left" w:pos="6698"/>
        </w:tabs>
        <w:bidi w:val="0"/>
        <w:spacing w:after="0" w:line="360" w:lineRule="auto"/>
        <w:rPr>
          <w:rFonts w:asciiTheme="majorBidi" w:hAnsiTheme="majorBidi" w:cstheme="majorBidi"/>
          <w:sz w:val="28"/>
          <w:szCs w:val="28"/>
          <w:lang w:bidi="ar-IQ"/>
        </w:rPr>
      </w:pPr>
      <w:r w:rsidRPr="00B4572C">
        <w:rPr>
          <w:rFonts w:asciiTheme="majorBidi" w:hAnsiTheme="majorBidi" w:cstheme="majorBidi"/>
          <w:sz w:val="28"/>
          <w:szCs w:val="28"/>
          <w:lang w:bidi="ar-IQ"/>
        </w:rPr>
        <w:t>Table 2. Oral treatment options for cutaneous fungal infections</w:t>
      </w:r>
    </w:p>
    <w:tbl>
      <w:tblPr>
        <w:tblW w:w="9740" w:type="dxa"/>
        <w:tblCellMar>
          <w:left w:w="0" w:type="dxa"/>
          <w:right w:w="0" w:type="dxa"/>
        </w:tblCellMar>
        <w:tblLook w:val="04A0" w:firstRow="1" w:lastRow="0" w:firstColumn="1" w:lastColumn="0" w:noHBand="0" w:noVBand="1"/>
      </w:tblPr>
      <w:tblGrid>
        <w:gridCol w:w="2620"/>
        <w:gridCol w:w="7120"/>
      </w:tblGrid>
      <w:tr w:rsidR="00B4572C" w:rsidRPr="00B4572C" w14:paraId="73959F6D" w14:textId="77777777" w:rsidTr="00B4572C">
        <w:trPr>
          <w:trHeight w:val="479"/>
        </w:trPr>
        <w:tc>
          <w:tcPr>
            <w:tcW w:w="2620" w:type="dxa"/>
            <w:tcBorders>
              <w:top w:val="single" w:sz="8" w:space="0" w:color="AABBCC"/>
              <w:left w:val="single" w:sz="8" w:space="0" w:color="AABBCC"/>
              <w:bottom w:val="single" w:sz="8" w:space="0" w:color="AABBCC"/>
              <w:right w:val="single" w:sz="8" w:space="0" w:color="AABBCC"/>
            </w:tcBorders>
            <w:shd w:val="clear" w:color="auto" w:fill="EBF0F7"/>
            <w:tcMar>
              <w:top w:w="72" w:type="dxa"/>
              <w:left w:w="72" w:type="dxa"/>
              <w:bottom w:w="72" w:type="dxa"/>
              <w:right w:w="72" w:type="dxa"/>
            </w:tcMar>
            <w:vAlign w:val="center"/>
            <w:hideMark/>
          </w:tcPr>
          <w:p w14:paraId="73959F6B" w14:textId="77777777" w:rsidR="00DD1A46" w:rsidRPr="00B4572C" w:rsidRDefault="00B4572C" w:rsidP="00B4572C">
            <w:pPr>
              <w:tabs>
                <w:tab w:val="left" w:pos="6698"/>
              </w:tabs>
              <w:bidi w:val="0"/>
              <w:spacing w:after="0" w:line="360" w:lineRule="auto"/>
              <w:rPr>
                <w:rFonts w:asciiTheme="majorBidi" w:hAnsiTheme="majorBidi" w:cstheme="majorBidi"/>
                <w:sz w:val="28"/>
                <w:szCs w:val="28"/>
                <w:lang w:bidi="ar-IQ"/>
              </w:rPr>
            </w:pPr>
            <w:r w:rsidRPr="00B4572C">
              <w:rPr>
                <w:rFonts w:asciiTheme="majorBidi" w:hAnsiTheme="majorBidi" w:cstheme="majorBidi"/>
                <w:b/>
                <w:bCs/>
                <w:sz w:val="28"/>
                <w:szCs w:val="28"/>
                <w:lang w:bidi="ar-IQ"/>
              </w:rPr>
              <w:t>Infection</w:t>
            </w:r>
          </w:p>
        </w:tc>
        <w:tc>
          <w:tcPr>
            <w:tcW w:w="7120" w:type="dxa"/>
            <w:tcBorders>
              <w:top w:val="single" w:sz="8" w:space="0" w:color="AABBCC"/>
              <w:left w:val="single" w:sz="8" w:space="0" w:color="AABBCC"/>
              <w:bottom w:val="single" w:sz="8" w:space="0" w:color="AABBCC"/>
              <w:right w:val="single" w:sz="8" w:space="0" w:color="AABBCC"/>
            </w:tcBorders>
            <w:shd w:val="clear" w:color="auto" w:fill="EBF0F7"/>
            <w:tcMar>
              <w:top w:w="72" w:type="dxa"/>
              <w:left w:w="72" w:type="dxa"/>
              <w:bottom w:w="72" w:type="dxa"/>
              <w:right w:w="72" w:type="dxa"/>
            </w:tcMar>
            <w:vAlign w:val="center"/>
            <w:hideMark/>
          </w:tcPr>
          <w:p w14:paraId="73959F6C" w14:textId="77777777" w:rsidR="00DD1A46" w:rsidRPr="00B4572C" w:rsidRDefault="00B4572C" w:rsidP="00B4572C">
            <w:pPr>
              <w:tabs>
                <w:tab w:val="left" w:pos="6698"/>
              </w:tabs>
              <w:bidi w:val="0"/>
              <w:spacing w:after="0" w:line="360" w:lineRule="auto"/>
              <w:rPr>
                <w:rFonts w:asciiTheme="majorBidi" w:hAnsiTheme="majorBidi" w:cstheme="majorBidi"/>
                <w:sz w:val="28"/>
                <w:szCs w:val="28"/>
                <w:lang w:bidi="ar-IQ"/>
              </w:rPr>
            </w:pPr>
            <w:r w:rsidRPr="00B4572C">
              <w:rPr>
                <w:rFonts w:asciiTheme="majorBidi" w:hAnsiTheme="majorBidi" w:cstheme="majorBidi"/>
                <w:b/>
                <w:bCs/>
                <w:sz w:val="28"/>
                <w:szCs w:val="28"/>
                <w:lang w:bidi="ar-IQ"/>
              </w:rPr>
              <w:t>Recommended</w:t>
            </w:r>
          </w:p>
        </w:tc>
      </w:tr>
      <w:tr w:rsidR="00B4572C" w:rsidRPr="00B4572C" w14:paraId="73959F70" w14:textId="77777777" w:rsidTr="00B4572C">
        <w:trPr>
          <w:trHeight w:val="1528"/>
        </w:trPr>
        <w:tc>
          <w:tcPr>
            <w:tcW w:w="2620" w:type="dxa"/>
            <w:tcBorders>
              <w:top w:val="single" w:sz="8" w:space="0" w:color="AABBCC"/>
              <w:left w:val="single" w:sz="8" w:space="0" w:color="AABBCC"/>
              <w:bottom w:val="single" w:sz="8" w:space="0" w:color="AABBCC"/>
              <w:right w:val="single" w:sz="8" w:space="0" w:color="AABBCC"/>
            </w:tcBorders>
            <w:shd w:val="clear" w:color="auto" w:fill="auto"/>
            <w:tcMar>
              <w:top w:w="101" w:type="dxa"/>
              <w:left w:w="145" w:type="dxa"/>
              <w:bottom w:w="101" w:type="dxa"/>
              <w:right w:w="145" w:type="dxa"/>
            </w:tcMar>
            <w:vAlign w:val="center"/>
            <w:hideMark/>
          </w:tcPr>
          <w:p w14:paraId="73959F6E" w14:textId="77777777" w:rsidR="00DD1A46" w:rsidRPr="00B4572C" w:rsidRDefault="00B4572C" w:rsidP="00B4572C">
            <w:pPr>
              <w:tabs>
                <w:tab w:val="left" w:pos="6698"/>
              </w:tabs>
              <w:bidi w:val="0"/>
              <w:spacing w:after="0" w:line="360" w:lineRule="auto"/>
              <w:rPr>
                <w:rFonts w:asciiTheme="majorBidi" w:hAnsiTheme="majorBidi" w:cstheme="majorBidi"/>
                <w:sz w:val="28"/>
                <w:szCs w:val="28"/>
                <w:lang w:bidi="ar-IQ"/>
              </w:rPr>
            </w:pPr>
            <w:r w:rsidRPr="00B4572C">
              <w:rPr>
                <w:rFonts w:asciiTheme="majorBidi" w:hAnsiTheme="majorBidi" w:cstheme="majorBidi"/>
                <w:b/>
                <w:bCs/>
                <w:sz w:val="28"/>
                <w:szCs w:val="28"/>
                <w:lang w:bidi="ar-IQ"/>
              </w:rPr>
              <w:lastRenderedPageBreak/>
              <w:t xml:space="preserve">Tinea </w:t>
            </w:r>
            <w:proofErr w:type="spellStart"/>
            <w:r w:rsidRPr="00B4572C">
              <w:rPr>
                <w:rFonts w:asciiTheme="majorBidi" w:hAnsiTheme="majorBidi" w:cstheme="majorBidi"/>
                <w:b/>
                <w:bCs/>
                <w:sz w:val="28"/>
                <w:szCs w:val="28"/>
                <w:lang w:bidi="ar-IQ"/>
              </w:rPr>
              <w:t>unguium</w:t>
            </w:r>
            <w:proofErr w:type="spellEnd"/>
            <w:r w:rsidRPr="00B4572C">
              <w:rPr>
                <w:rFonts w:asciiTheme="majorBidi" w:hAnsiTheme="majorBidi" w:cstheme="majorBidi"/>
                <w:b/>
                <w:bCs/>
                <w:sz w:val="28"/>
                <w:szCs w:val="28"/>
                <w:lang w:bidi="ar-IQ"/>
              </w:rPr>
              <w:br/>
              <w:t>[Onychomycosis]</w:t>
            </w:r>
          </w:p>
        </w:tc>
        <w:tc>
          <w:tcPr>
            <w:tcW w:w="7120" w:type="dxa"/>
            <w:tcBorders>
              <w:top w:val="single" w:sz="8" w:space="0" w:color="AABBCC"/>
              <w:left w:val="single" w:sz="8" w:space="0" w:color="AABBCC"/>
              <w:bottom w:val="single" w:sz="8" w:space="0" w:color="AABBCC"/>
              <w:right w:val="single" w:sz="8" w:space="0" w:color="AABBCC"/>
            </w:tcBorders>
            <w:shd w:val="clear" w:color="auto" w:fill="auto"/>
            <w:tcMar>
              <w:top w:w="101" w:type="dxa"/>
              <w:left w:w="145" w:type="dxa"/>
              <w:bottom w:w="101" w:type="dxa"/>
              <w:right w:w="145" w:type="dxa"/>
            </w:tcMar>
            <w:vAlign w:val="center"/>
            <w:hideMark/>
          </w:tcPr>
          <w:p w14:paraId="73959F6F" w14:textId="77777777" w:rsidR="00DD1A46" w:rsidRPr="00B4572C" w:rsidRDefault="00B4572C" w:rsidP="00B4572C">
            <w:pPr>
              <w:tabs>
                <w:tab w:val="left" w:pos="6698"/>
              </w:tabs>
              <w:bidi w:val="0"/>
              <w:spacing w:after="0" w:line="360" w:lineRule="auto"/>
              <w:rPr>
                <w:rFonts w:asciiTheme="majorBidi" w:hAnsiTheme="majorBidi" w:cstheme="majorBidi"/>
                <w:sz w:val="28"/>
                <w:szCs w:val="28"/>
                <w:lang w:bidi="ar-IQ"/>
              </w:rPr>
            </w:pPr>
            <w:r w:rsidRPr="00B4572C">
              <w:rPr>
                <w:rFonts w:asciiTheme="majorBidi" w:hAnsiTheme="majorBidi" w:cstheme="majorBidi"/>
                <w:sz w:val="28"/>
                <w:szCs w:val="28"/>
                <w:lang w:bidi="ar-IQ"/>
              </w:rPr>
              <w:t>Terbinafine 250 mg/day</w:t>
            </w:r>
            <w:r w:rsidRPr="00B4572C">
              <w:rPr>
                <w:rFonts w:asciiTheme="majorBidi" w:hAnsiTheme="majorBidi" w:cstheme="majorBidi"/>
                <w:sz w:val="28"/>
                <w:szCs w:val="28"/>
                <w:lang w:bidi="ar-IQ"/>
              </w:rPr>
              <w:br/>
              <w:t>6 weeks for finger nails,</w:t>
            </w:r>
            <w:r w:rsidRPr="00B4572C">
              <w:rPr>
                <w:rFonts w:asciiTheme="majorBidi" w:hAnsiTheme="majorBidi" w:cstheme="majorBidi"/>
                <w:sz w:val="28"/>
                <w:szCs w:val="28"/>
                <w:lang w:bidi="ar-IQ"/>
              </w:rPr>
              <w:br/>
              <w:t>12 weeks for toe nails.</w:t>
            </w:r>
          </w:p>
        </w:tc>
      </w:tr>
      <w:tr w:rsidR="00B4572C" w:rsidRPr="00B4572C" w14:paraId="73959F73" w14:textId="77777777" w:rsidTr="00B4572C">
        <w:trPr>
          <w:trHeight w:val="1228"/>
        </w:trPr>
        <w:tc>
          <w:tcPr>
            <w:tcW w:w="2620" w:type="dxa"/>
            <w:tcBorders>
              <w:top w:val="single" w:sz="8" w:space="0" w:color="AABBCC"/>
              <w:left w:val="single" w:sz="8" w:space="0" w:color="AABBCC"/>
              <w:bottom w:val="single" w:sz="8" w:space="0" w:color="AABBCC"/>
              <w:right w:val="single" w:sz="8" w:space="0" w:color="AABBCC"/>
            </w:tcBorders>
            <w:shd w:val="clear" w:color="auto" w:fill="auto"/>
            <w:tcMar>
              <w:top w:w="101" w:type="dxa"/>
              <w:left w:w="145" w:type="dxa"/>
              <w:bottom w:w="101" w:type="dxa"/>
              <w:right w:w="145" w:type="dxa"/>
            </w:tcMar>
            <w:vAlign w:val="center"/>
            <w:hideMark/>
          </w:tcPr>
          <w:p w14:paraId="73959F71" w14:textId="77777777" w:rsidR="00DD1A46" w:rsidRPr="00B4572C" w:rsidRDefault="00B4572C" w:rsidP="00B4572C">
            <w:pPr>
              <w:tabs>
                <w:tab w:val="left" w:pos="6698"/>
              </w:tabs>
              <w:bidi w:val="0"/>
              <w:spacing w:after="0" w:line="360" w:lineRule="auto"/>
              <w:rPr>
                <w:rFonts w:asciiTheme="majorBidi" w:hAnsiTheme="majorBidi" w:cstheme="majorBidi"/>
                <w:sz w:val="28"/>
                <w:szCs w:val="28"/>
                <w:lang w:bidi="ar-IQ"/>
              </w:rPr>
            </w:pPr>
            <w:r w:rsidRPr="00B4572C">
              <w:rPr>
                <w:rFonts w:asciiTheme="majorBidi" w:hAnsiTheme="majorBidi" w:cstheme="majorBidi"/>
                <w:b/>
                <w:bCs/>
                <w:sz w:val="28"/>
                <w:szCs w:val="28"/>
                <w:lang w:bidi="ar-IQ"/>
              </w:rPr>
              <w:t>Tinea capitis</w:t>
            </w:r>
          </w:p>
        </w:tc>
        <w:tc>
          <w:tcPr>
            <w:tcW w:w="7120" w:type="dxa"/>
            <w:tcBorders>
              <w:top w:val="single" w:sz="8" w:space="0" w:color="AABBCC"/>
              <w:left w:val="single" w:sz="8" w:space="0" w:color="AABBCC"/>
              <w:bottom w:val="single" w:sz="8" w:space="0" w:color="AABBCC"/>
              <w:right w:val="single" w:sz="8" w:space="0" w:color="AABBCC"/>
            </w:tcBorders>
            <w:shd w:val="clear" w:color="auto" w:fill="auto"/>
            <w:tcMar>
              <w:top w:w="101" w:type="dxa"/>
              <w:left w:w="145" w:type="dxa"/>
              <w:bottom w:w="101" w:type="dxa"/>
              <w:right w:w="145" w:type="dxa"/>
            </w:tcMar>
            <w:vAlign w:val="center"/>
            <w:hideMark/>
          </w:tcPr>
          <w:p w14:paraId="73959F72" w14:textId="77777777" w:rsidR="00DD1A46" w:rsidRPr="00B4572C" w:rsidRDefault="00B4572C" w:rsidP="00B4572C">
            <w:pPr>
              <w:tabs>
                <w:tab w:val="left" w:pos="6698"/>
              </w:tabs>
              <w:bidi w:val="0"/>
              <w:spacing w:after="0" w:line="360" w:lineRule="auto"/>
              <w:rPr>
                <w:rFonts w:asciiTheme="majorBidi" w:hAnsiTheme="majorBidi" w:cstheme="majorBidi"/>
                <w:sz w:val="28"/>
                <w:szCs w:val="28"/>
                <w:lang w:bidi="ar-IQ"/>
              </w:rPr>
            </w:pPr>
            <w:r w:rsidRPr="00B4572C">
              <w:rPr>
                <w:rFonts w:asciiTheme="majorBidi" w:hAnsiTheme="majorBidi" w:cstheme="majorBidi"/>
                <w:sz w:val="28"/>
                <w:szCs w:val="28"/>
                <w:lang w:bidi="ar-IQ"/>
              </w:rPr>
              <w:t>Griseofulvin 500mg/day</w:t>
            </w:r>
            <w:r w:rsidRPr="00B4572C">
              <w:rPr>
                <w:rFonts w:asciiTheme="majorBidi" w:hAnsiTheme="majorBidi" w:cstheme="majorBidi"/>
                <w:sz w:val="28"/>
                <w:szCs w:val="28"/>
                <w:lang w:bidi="ar-IQ"/>
              </w:rPr>
              <w:br/>
              <w:t>[not less than 10 mg/kg/day]</w:t>
            </w:r>
            <w:r w:rsidRPr="00B4572C">
              <w:rPr>
                <w:rFonts w:asciiTheme="majorBidi" w:hAnsiTheme="majorBidi" w:cstheme="majorBidi"/>
                <w:sz w:val="28"/>
                <w:szCs w:val="28"/>
                <w:lang w:bidi="ar-IQ"/>
              </w:rPr>
              <w:br/>
              <w:t>until cure [6-8 weeks].</w:t>
            </w:r>
          </w:p>
        </w:tc>
      </w:tr>
      <w:tr w:rsidR="00B4572C" w:rsidRPr="00B4572C" w14:paraId="73959F76" w14:textId="77777777" w:rsidTr="00B4572C">
        <w:trPr>
          <w:trHeight w:val="1576"/>
        </w:trPr>
        <w:tc>
          <w:tcPr>
            <w:tcW w:w="2620" w:type="dxa"/>
            <w:tcBorders>
              <w:top w:val="single" w:sz="8" w:space="0" w:color="AABBCC"/>
              <w:left w:val="single" w:sz="8" w:space="0" w:color="AABBCC"/>
              <w:bottom w:val="single" w:sz="8" w:space="0" w:color="AABBCC"/>
              <w:right w:val="single" w:sz="8" w:space="0" w:color="AABBCC"/>
            </w:tcBorders>
            <w:shd w:val="clear" w:color="auto" w:fill="auto"/>
            <w:tcMar>
              <w:top w:w="101" w:type="dxa"/>
              <w:left w:w="145" w:type="dxa"/>
              <w:bottom w:w="101" w:type="dxa"/>
              <w:right w:w="145" w:type="dxa"/>
            </w:tcMar>
            <w:vAlign w:val="center"/>
            <w:hideMark/>
          </w:tcPr>
          <w:p w14:paraId="73959F74" w14:textId="77777777" w:rsidR="00DD1A46" w:rsidRPr="00B4572C" w:rsidRDefault="00B4572C" w:rsidP="00B4572C">
            <w:pPr>
              <w:tabs>
                <w:tab w:val="left" w:pos="6698"/>
              </w:tabs>
              <w:bidi w:val="0"/>
              <w:spacing w:after="0" w:line="360" w:lineRule="auto"/>
              <w:rPr>
                <w:rFonts w:asciiTheme="majorBidi" w:hAnsiTheme="majorBidi" w:cstheme="majorBidi"/>
                <w:sz w:val="28"/>
                <w:szCs w:val="28"/>
                <w:lang w:bidi="ar-IQ"/>
              </w:rPr>
            </w:pPr>
            <w:r w:rsidRPr="00B4572C">
              <w:rPr>
                <w:rFonts w:asciiTheme="majorBidi" w:hAnsiTheme="majorBidi" w:cstheme="majorBidi"/>
                <w:b/>
                <w:bCs/>
                <w:sz w:val="28"/>
                <w:szCs w:val="28"/>
                <w:lang w:bidi="ar-IQ"/>
              </w:rPr>
              <w:t>Tinea corporis</w:t>
            </w:r>
          </w:p>
        </w:tc>
        <w:tc>
          <w:tcPr>
            <w:tcW w:w="7120" w:type="dxa"/>
            <w:tcBorders>
              <w:top w:val="single" w:sz="8" w:space="0" w:color="AABBCC"/>
              <w:left w:val="single" w:sz="8" w:space="0" w:color="AABBCC"/>
              <w:bottom w:val="single" w:sz="8" w:space="0" w:color="AABBCC"/>
              <w:right w:val="single" w:sz="8" w:space="0" w:color="AABBCC"/>
            </w:tcBorders>
            <w:shd w:val="clear" w:color="auto" w:fill="auto"/>
            <w:tcMar>
              <w:top w:w="101" w:type="dxa"/>
              <w:left w:w="145" w:type="dxa"/>
              <w:bottom w:w="101" w:type="dxa"/>
              <w:right w:w="145" w:type="dxa"/>
            </w:tcMar>
            <w:vAlign w:val="center"/>
            <w:hideMark/>
          </w:tcPr>
          <w:p w14:paraId="73959F75" w14:textId="77777777" w:rsidR="00DD1A46" w:rsidRPr="00B4572C" w:rsidRDefault="00B4572C" w:rsidP="00B4572C">
            <w:pPr>
              <w:tabs>
                <w:tab w:val="left" w:pos="6698"/>
              </w:tabs>
              <w:bidi w:val="0"/>
              <w:spacing w:after="0" w:line="360" w:lineRule="auto"/>
              <w:rPr>
                <w:rFonts w:asciiTheme="majorBidi" w:hAnsiTheme="majorBidi" w:cstheme="majorBidi"/>
                <w:sz w:val="28"/>
                <w:szCs w:val="28"/>
                <w:lang w:bidi="ar-IQ"/>
              </w:rPr>
            </w:pPr>
            <w:r w:rsidRPr="00B4572C">
              <w:rPr>
                <w:rFonts w:asciiTheme="majorBidi" w:hAnsiTheme="majorBidi" w:cstheme="majorBidi"/>
                <w:sz w:val="28"/>
                <w:szCs w:val="28"/>
                <w:lang w:bidi="ar-IQ"/>
              </w:rPr>
              <w:t>Griseofulvin 500 mg/day until</w:t>
            </w:r>
            <w:r w:rsidRPr="00B4572C">
              <w:rPr>
                <w:rFonts w:asciiTheme="majorBidi" w:hAnsiTheme="majorBidi" w:cstheme="majorBidi"/>
                <w:sz w:val="28"/>
                <w:szCs w:val="28"/>
                <w:lang w:bidi="ar-IQ"/>
              </w:rPr>
              <w:br/>
              <w:t xml:space="preserve">cure [4-6 weeks], often </w:t>
            </w:r>
            <w:r w:rsidRPr="00B4572C">
              <w:rPr>
                <w:rFonts w:asciiTheme="majorBidi" w:hAnsiTheme="majorBidi" w:cstheme="majorBidi"/>
                <w:sz w:val="28"/>
                <w:szCs w:val="28"/>
                <w:lang w:bidi="ar-IQ"/>
              </w:rPr>
              <w:br/>
              <w:t>combined with a topical</w:t>
            </w:r>
            <w:r w:rsidRPr="00B4572C">
              <w:rPr>
                <w:rFonts w:asciiTheme="majorBidi" w:hAnsiTheme="majorBidi" w:cstheme="majorBidi"/>
                <w:sz w:val="28"/>
                <w:szCs w:val="28"/>
                <w:lang w:bidi="ar-IQ"/>
              </w:rPr>
              <w:br/>
              <w:t>imidazole agent.</w:t>
            </w:r>
          </w:p>
        </w:tc>
      </w:tr>
      <w:tr w:rsidR="00B4572C" w:rsidRPr="00B4572C" w14:paraId="73959F79" w14:textId="77777777" w:rsidTr="00B4572C">
        <w:trPr>
          <w:trHeight w:val="879"/>
        </w:trPr>
        <w:tc>
          <w:tcPr>
            <w:tcW w:w="2620" w:type="dxa"/>
            <w:tcBorders>
              <w:top w:val="single" w:sz="8" w:space="0" w:color="AABBCC"/>
              <w:left w:val="single" w:sz="8" w:space="0" w:color="AABBCC"/>
              <w:bottom w:val="single" w:sz="8" w:space="0" w:color="AABBCC"/>
              <w:right w:val="single" w:sz="8" w:space="0" w:color="AABBCC"/>
            </w:tcBorders>
            <w:shd w:val="clear" w:color="auto" w:fill="auto"/>
            <w:tcMar>
              <w:top w:w="101" w:type="dxa"/>
              <w:left w:w="145" w:type="dxa"/>
              <w:bottom w:w="101" w:type="dxa"/>
              <w:right w:w="145" w:type="dxa"/>
            </w:tcMar>
            <w:vAlign w:val="center"/>
            <w:hideMark/>
          </w:tcPr>
          <w:p w14:paraId="73959F77" w14:textId="77777777" w:rsidR="00DD1A46" w:rsidRPr="00B4572C" w:rsidRDefault="00B4572C" w:rsidP="00B4572C">
            <w:pPr>
              <w:tabs>
                <w:tab w:val="left" w:pos="6698"/>
              </w:tabs>
              <w:bidi w:val="0"/>
              <w:spacing w:after="0" w:line="360" w:lineRule="auto"/>
              <w:rPr>
                <w:rFonts w:asciiTheme="majorBidi" w:hAnsiTheme="majorBidi" w:cstheme="majorBidi"/>
                <w:sz w:val="28"/>
                <w:szCs w:val="28"/>
                <w:lang w:bidi="ar-IQ"/>
              </w:rPr>
            </w:pPr>
            <w:r w:rsidRPr="00B4572C">
              <w:rPr>
                <w:rFonts w:asciiTheme="majorBidi" w:hAnsiTheme="majorBidi" w:cstheme="majorBidi"/>
                <w:b/>
                <w:bCs/>
                <w:sz w:val="28"/>
                <w:szCs w:val="28"/>
                <w:lang w:bidi="ar-IQ"/>
              </w:rPr>
              <w:t>Tinea cruris</w:t>
            </w:r>
          </w:p>
        </w:tc>
        <w:tc>
          <w:tcPr>
            <w:tcW w:w="7120" w:type="dxa"/>
            <w:tcBorders>
              <w:top w:val="single" w:sz="8" w:space="0" w:color="AABBCC"/>
              <w:left w:val="single" w:sz="8" w:space="0" w:color="AABBCC"/>
              <w:bottom w:val="single" w:sz="8" w:space="0" w:color="AABBCC"/>
              <w:right w:val="single" w:sz="8" w:space="0" w:color="AABBCC"/>
            </w:tcBorders>
            <w:shd w:val="clear" w:color="auto" w:fill="auto"/>
            <w:tcMar>
              <w:top w:w="101" w:type="dxa"/>
              <w:left w:w="145" w:type="dxa"/>
              <w:bottom w:w="101" w:type="dxa"/>
              <w:right w:w="145" w:type="dxa"/>
            </w:tcMar>
            <w:vAlign w:val="center"/>
            <w:hideMark/>
          </w:tcPr>
          <w:p w14:paraId="73959F78" w14:textId="77777777" w:rsidR="00DD1A46" w:rsidRPr="00B4572C" w:rsidRDefault="00B4572C" w:rsidP="00B4572C">
            <w:pPr>
              <w:tabs>
                <w:tab w:val="left" w:pos="6698"/>
              </w:tabs>
              <w:bidi w:val="0"/>
              <w:spacing w:after="0" w:line="360" w:lineRule="auto"/>
              <w:rPr>
                <w:rFonts w:asciiTheme="majorBidi" w:hAnsiTheme="majorBidi" w:cstheme="majorBidi"/>
                <w:sz w:val="28"/>
                <w:szCs w:val="28"/>
                <w:lang w:bidi="ar-IQ"/>
              </w:rPr>
            </w:pPr>
            <w:r w:rsidRPr="00B4572C">
              <w:rPr>
                <w:rFonts w:asciiTheme="majorBidi" w:hAnsiTheme="majorBidi" w:cstheme="majorBidi"/>
                <w:sz w:val="28"/>
                <w:szCs w:val="28"/>
                <w:lang w:bidi="ar-IQ"/>
              </w:rPr>
              <w:t>Griseofulvin 500 mg/day</w:t>
            </w:r>
            <w:r w:rsidRPr="00B4572C">
              <w:rPr>
                <w:rFonts w:asciiTheme="majorBidi" w:hAnsiTheme="majorBidi" w:cstheme="majorBidi"/>
                <w:sz w:val="28"/>
                <w:szCs w:val="28"/>
                <w:lang w:bidi="ar-IQ"/>
              </w:rPr>
              <w:br/>
              <w:t>until cure [4-6 weeks].</w:t>
            </w:r>
          </w:p>
        </w:tc>
      </w:tr>
      <w:tr w:rsidR="00B4572C" w:rsidRPr="00B4572C" w14:paraId="73959F7C" w14:textId="77777777" w:rsidTr="00B4572C">
        <w:trPr>
          <w:trHeight w:val="879"/>
        </w:trPr>
        <w:tc>
          <w:tcPr>
            <w:tcW w:w="2620" w:type="dxa"/>
            <w:tcBorders>
              <w:top w:val="single" w:sz="8" w:space="0" w:color="AABBCC"/>
              <w:left w:val="single" w:sz="8" w:space="0" w:color="AABBCC"/>
              <w:bottom w:val="single" w:sz="8" w:space="0" w:color="AABBCC"/>
              <w:right w:val="single" w:sz="8" w:space="0" w:color="AABBCC"/>
            </w:tcBorders>
            <w:shd w:val="clear" w:color="auto" w:fill="auto"/>
            <w:tcMar>
              <w:top w:w="101" w:type="dxa"/>
              <w:left w:w="145" w:type="dxa"/>
              <w:bottom w:w="101" w:type="dxa"/>
              <w:right w:w="145" w:type="dxa"/>
            </w:tcMar>
            <w:vAlign w:val="center"/>
            <w:hideMark/>
          </w:tcPr>
          <w:p w14:paraId="73959F7A" w14:textId="77777777" w:rsidR="00DD1A46" w:rsidRPr="00B4572C" w:rsidRDefault="00B4572C" w:rsidP="00B4572C">
            <w:pPr>
              <w:tabs>
                <w:tab w:val="left" w:pos="6698"/>
              </w:tabs>
              <w:bidi w:val="0"/>
              <w:spacing w:after="0" w:line="360" w:lineRule="auto"/>
              <w:rPr>
                <w:rFonts w:asciiTheme="majorBidi" w:hAnsiTheme="majorBidi" w:cstheme="majorBidi"/>
                <w:sz w:val="28"/>
                <w:szCs w:val="28"/>
                <w:lang w:bidi="ar-IQ"/>
              </w:rPr>
            </w:pPr>
            <w:r w:rsidRPr="00B4572C">
              <w:rPr>
                <w:rFonts w:asciiTheme="majorBidi" w:hAnsiTheme="majorBidi" w:cstheme="majorBidi"/>
                <w:b/>
                <w:bCs/>
                <w:sz w:val="28"/>
                <w:szCs w:val="28"/>
                <w:lang w:bidi="ar-IQ"/>
              </w:rPr>
              <w:t>Tinea pedis</w:t>
            </w:r>
          </w:p>
        </w:tc>
        <w:tc>
          <w:tcPr>
            <w:tcW w:w="7120" w:type="dxa"/>
            <w:tcBorders>
              <w:top w:val="single" w:sz="8" w:space="0" w:color="AABBCC"/>
              <w:left w:val="single" w:sz="8" w:space="0" w:color="AABBCC"/>
              <w:bottom w:val="single" w:sz="8" w:space="0" w:color="AABBCC"/>
              <w:right w:val="single" w:sz="8" w:space="0" w:color="AABBCC"/>
            </w:tcBorders>
            <w:shd w:val="clear" w:color="auto" w:fill="auto"/>
            <w:tcMar>
              <w:top w:w="101" w:type="dxa"/>
              <w:left w:w="145" w:type="dxa"/>
              <w:bottom w:w="101" w:type="dxa"/>
              <w:right w:w="145" w:type="dxa"/>
            </w:tcMar>
            <w:vAlign w:val="center"/>
            <w:hideMark/>
          </w:tcPr>
          <w:p w14:paraId="73959F7B" w14:textId="77777777" w:rsidR="00DD1A46" w:rsidRPr="00B4572C" w:rsidRDefault="00B4572C" w:rsidP="00B4572C">
            <w:pPr>
              <w:tabs>
                <w:tab w:val="left" w:pos="6698"/>
              </w:tabs>
              <w:bidi w:val="0"/>
              <w:spacing w:after="0" w:line="360" w:lineRule="auto"/>
              <w:rPr>
                <w:rFonts w:asciiTheme="majorBidi" w:hAnsiTheme="majorBidi" w:cstheme="majorBidi"/>
                <w:sz w:val="28"/>
                <w:szCs w:val="28"/>
                <w:lang w:bidi="ar-IQ"/>
              </w:rPr>
            </w:pPr>
            <w:r w:rsidRPr="00B4572C">
              <w:rPr>
                <w:rFonts w:asciiTheme="majorBidi" w:hAnsiTheme="majorBidi" w:cstheme="majorBidi"/>
                <w:sz w:val="28"/>
                <w:szCs w:val="28"/>
                <w:lang w:bidi="ar-IQ"/>
              </w:rPr>
              <w:t>Griseofulvin 500mg/day</w:t>
            </w:r>
            <w:r w:rsidRPr="00B4572C">
              <w:rPr>
                <w:rFonts w:asciiTheme="majorBidi" w:hAnsiTheme="majorBidi" w:cstheme="majorBidi"/>
                <w:sz w:val="28"/>
                <w:szCs w:val="28"/>
                <w:lang w:bidi="ar-IQ"/>
              </w:rPr>
              <w:br/>
              <w:t>until cure [4-6 weeks].</w:t>
            </w:r>
          </w:p>
        </w:tc>
      </w:tr>
    </w:tbl>
    <w:p w14:paraId="73959F7D" w14:textId="77777777" w:rsidR="00B4572C" w:rsidRPr="00B76813" w:rsidRDefault="00B4572C" w:rsidP="00B4572C">
      <w:pPr>
        <w:tabs>
          <w:tab w:val="left" w:pos="6698"/>
        </w:tabs>
        <w:bidi w:val="0"/>
        <w:spacing w:after="0" w:line="360" w:lineRule="auto"/>
        <w:rPr>
          <w:rFonts w:asciiTheme="majorBidi" w:hAnsiTheme="majorBidi" w:cstheme="majorBidi"/>
          <w:sz w:val="28"/>
          <w:szCs w:val="28"/>
          <w:lang w:bidi="ar-IQ"/>
        </w:rPr>
      </w:pPr>
    </w:p>
    <w:sectPr w:rsidR="00B4572C" w:rsidRPr="00B76813" w:rsidSect="007655B7">
      <w:headerReference w:type="default" r:id="rId10"/>
      <w:footerReference w:type="default" r:id="rId11"/>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3959F88" w14:textId="77777777" w:rsidR="00B0425F" w:rsidRDefault="00B0425F" w:rsidP="00B76813">
      <w:pPr>
        <w:spacing w:after="0" w:line="240" w:lineRule="auto"/>
      </w:pPr>
      <w:r>
        <w:separator/>
      </w:r>
    </w:p>
  </w:endnote>
  <w:endnote w:type="continuationSeparator" w:id="0">
    <w:p w14:paraId="73959F89" w14:textId="77777777" w:rsidR="00B0425F" w:rsidRDefault="00B0425F" w:rsidP="00B768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tl/>
      </w:rPr>
      <w:id w:val="1806660461"/>
      <w:docPartObj>
        <w:docPartGallery w:val="Page Numbers (Bottom of Page)"/>
        <w:docPartUnique/>
      </w:docPartObj>
    </w:sdtPr>
    <w:sdtEndPr/>
    <w:sdtContent>
      <w:p w14:paraId="73959F8A" w14:textId="77777777" w:rsidR="00B4572C" w:rsidRDefault="00B4572C">
        <w:pPr>
          <w:pStyle w:val="a5"/>
          <w:jc w:val="center"/>
        </w:pPr>
        <w:r>
          <w:fldChar w:fldCharType="begin"/>
        </w:r>
        <w:r>
          <w:instrText xml:space="preserve"> PAGE   \* MERGEFORMAT </w:instrText>
        </w:r>
        <w:r>
          <w:fldChar w:fldCharType="separate"/>
        </w:r>
        <w:r w:rsidR="00E25FBB">
          <w:rPr>
            <w:noProof/>
            <w:rtl/>
          </w:rPr>
          <w:t>3</w:t>
        </w:r>
        <w:r>
          <w:rPr>
            <w:noProof/>
          </w:rPr>
          <w:fldChar w:fldCharType="end"/>
        </w:r>
      </w:p>
    </w:sdtContent>
  </w:sdt>
  <w:p w14:paraId="73959F8B" w14:textId="77777777" w:rsidR="00B4572C" w:rsidRDefault="00B4572C">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3959F86" w14:textId="77777777" w:rsidR="00B0425F" w:rsidRDefault="00B0425F" w:rsidP="00B76813">
      <w:pPr>
        <w:spacing w:after="0" w:line="240" w:lineRule="auto"/>
      </w:pPr>
      <w:r>
        <w:separator/>
      </w:r>
    </w:p>
  </w:footnote>
  <w:footnote w:type="continuationSeparator" w:id="0">
    <w:p w14:paraId="73959F87" w14:textId="77777777" w:rsidR="00B0425F" w:rsidRDefault="00B0425F" w:rsidP="00B7681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198D21" w14:textId="77777777" w:rsidR="00AE4919" w:rsidRDefault="00AE4919" w:rsidP="00AE4919">
    <w:pPr>
      <w:pStyle w:val="a4"/>
      <w:jc w:val="center"/>
      <w:rPr>
        <w:b/>
        <w:bCs/>
        <w:sz w:val="28"/>
        <w:szCs w:val="28"/>
        <w:lang w:bidi="ar-IQ"/>
      </w:rPr>
    </w:pPr>
    <w:r>
      <w:rPr>
        <w:rFonts w:asciiTheme="majorBidi" w:hAnsiTheme="majorBidi" w:cstheme="majorBidi"/>
        <w:b/>
        <w:bCs/>
        <w:sz w:val="28"/>
        <w:szCs w:val="28"/>
      </w:rPr>
      <w:t>Medical Mycology</w:t>
    </w:r>
  </w:p>
  <w:p w14:paraId="6B47EBA6" w14:textId="2F0CED1D" w:rsidR="00AE4919" w:rsidRDefault="00AE4919" w:rsidP="00AE4919">
    <w:pPr>
      <w:pStyle w:val="a4"/>
      <w:bidi w:val="0"/>
      <w:jc w:val="center"/>
      <w:rPr>
        <w:b/>
        <w:bCs/>
        <w:sz w:val="28"/>
        <w:szCs w:val="28"/>
        <w:lang w:bidi="ar-IQ"/>
      </w:rPr>
    </w:pPr>
    <w:r>
      <w:rPr>
        <w:b/>
        <w:bCs/>
        <w:sz w:val="28"/>
        <w:szCs w:val="28"/>
        <w:lang w:bidi="ar-IQ"/>
      </w:rPr>
      <w:t>Lecture (</w:t>
    </w:r>
    <w:r>
      <w:rPr>
        <w:b/>
        <w:bCs/>
        <w:sz w:val="28"/>
        <w:szCs w:val="28"/>
        <w:lang w:bidi="ar-IQ"/>
      </w:rPr>
      <w:t>4</w:t>
    </w:r>
    <w:r>
      <w:rPr>
        <w:b/>
        <w:bCs/>
        <w:sz w:val="28"/>
        <w:szCs w:val="28"/>
        <w:lang w:bidi="ar-IQ"/>
      </w:rPr>
      <w:t>)</w:t>
    </w:r>
  </w:p>
  <w:p w14:paraId="41283624" w14:textId="77777777" w:rsidR="00AE4919" w:rsidRDefault="00AE4919" w:rsidP="00AE4919">
    <w:pPr>
      <w:pStyle w:val="a4"/>
    </w:pPr>
    <w:r>
      <w:rPr>
        <w:rtl/>
      </w:rPr>
      <w:t>----------------------------------------------------------------------------------------------------------------</w:t>
    </w:r>
  </w:p>
  <w:p w14:paraId="0CAA3972" w14:textId="77777777" w:rsidR="00AE4919" w:rsidRDefault="00AE4919">
    <w:pPr>
      <w:pStyle w:val="a4"/>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A0177"/>
    <w:rsid w:val="00366743"/>
    <w:rsid w:val="0066318F"/>
    <w:rsid w:val="007655B7"/>
    <w:rsid w:val="007A0F31"/>
    <w:rsid w:val="00A42B3C"/>
    <w:rsid w:val="00AE4919"/>
    <w:rsid w:val="00B0425F"/>
    <w:rsid w:val="00B4572C"/>
    <w:rsid w:val="00B76813"/>
    <w:rsid w:val="00DA0177"/>
    <w:rsid w:val="00DC76E8"/>
    <w:rsid w:val="00DD1A46"/>
    <w:rsid w:val="00E25FBB"/>
    <w:rsid w:val="00F44C7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959F31"/>
  <w15:docId w15:val="{FF111158-B988-4A94-8E96-B2DE227E61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A42B3C"/>
    <w:pPr>
      <w:spacing w:after="0" w:line="240" w:lineRule="auto"/>
    </w:pPr>
    <w:rPr>
      <w:rFonts w:ascii="Tahoma" w:hAnsi="Tahoma" w:cs="Tahoma"/>
      <w:sz w:val="16"/>
      <w:szCs w:val="16"/>
    </w:rPr>
  </w:style>
  <w:style w:type="character" w:customStyle="1" w:styleId="Char">
    <w:name w:val="نص في بالون Char"/>
    <w:basedOn w:val="a0"/>
    <w:link w:val="a3"/>
    <w:uiPriority w:val="99"/>
    <w:semiHidden/>
    <w:rsid w:val="00A42B3C"/>
    <w:rPr>
      <w:rFonts w:ascii="Tahoma" w:hAnsi="Tahoma" w:cs="Tahoma"/>
      <w:sz w:val="16"/>
      <w:szCs w:val="16"/>
    </w:rPr>
  </w:style>
  <w:style w:type="paragraph" w:styleId="a4">
    <w:name w:val="header"/>
    <w:basedOn w:val="a"/>
    <w:link w:val="Char0"/>
    <w:uiPriority w:val="99"/>
    <w:unhideWhenUsed/>
    <w:rsid w:val="00B76813"/>
    <w:pPr>
      <w:tabs>
        <w:tab w:val="center" w:pos="4153"/>
        <w:tab w:val="right" w:pos="8306"/>
      </w:tabs>
      <w:spacing w:after="0" w:line="240" w:lineRule="auto"/>
    </w:pPr>
  </w:style>
  <w:style w:type="character" w:customStyle="1" w:styleId="Char0">
    <w:name w:val="رأس الصفحة Char"/>
    <w:basedOn w:val="a0"/>
    <w:link w:val="a4"/>
    <w:uiPriority w:val="99"/>
    <w:rsid w:val="00B76813"/>
  </w:style>
  <w:style w:type="paragraph" w:styleId="a5">
    <w:name w:val="footer"/>
    <w:basedOn w:val="a"/>
    <w:link w:val="Char1"/>
    <w:uiPriority w:val="99"/>
    <w:unhideWhenUsed/>
    <w:rsid w:val="00B76813"/>
    <w:pPr>
      <w:tabs>
        <w:tab w:val="center" w:pos="4153"/>
        <w:tab w:val="right" w:pos="8306"/>
      </w:tabs>
      <w:spacing w:after="0" w:line="240" w:lineRule="auto"/>
    </w:pPr>
  </w:style>
  <w:style w:type="character" w:customStyle="1" w:styleId="Char1">
    <w:name w:val="تذييل الصفحة Char"/>
    <w:basedOn w:val="a0"/>
    <w:link w:val="a5"/>
    <w:uiPriority w:val="99"/>
    <w:rsid w:val="00B7681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63073624">
      <w:bodyDiv w:val="1"/>
      <w:marLeft w:val="0"/>
      <w:marRight w:val="0"/>
      <w:marTop w:val="0"/>
      <w:marBottom w:val="0"/>
      <w:divBdr>
        <w:top w:val="none" w:sz="0" w:space="0" w:color="auto"/>
        <w:left w:val="none" w:sz="0" w:space="0" w:color="auto"/>
        <w:bottom w:val="none" w:sz="0" w:space="0" w:color="auto"/>
        <w:right w:val="none" w:sz="0" w:space="0" w:color="auto"/>
      </w:divBdr>
    </w:div>
    <w:div w:id="1993022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601</TotalTime>
  <Pages>7</Pages>
  <Words>674</Words>
  <Characters>3846</Characters>
  <Application>Microsoft Office Word</Application>
  <DocSecurity>0</DocSecurity>
  <Lines>32</Lines>
  <Paragraphs>9</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Naim Al Hussaini</Company>
  <LinksUpToDate>false</LinksUpToDate>
  <CharactersWithSpaces>4511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JAD</dc:creator>
  <cp:keywords/>
  <dc:description/>
  <cp:lastModifiedBy>Zaid AL-RUBAIEE</cp:lastModifiedBy>
  <cp:revision>6</cp:revision>
  <dcterms:created xsi:type="dcterms:W3CDTF">2017-10-31T01:47:00Z</dcterms:created>
  <dcterms:modified xsi:type="dcterms:W3CDTF">2020-12-18T12:28:00Z</dcterms:modified>
</cp:coreProperties>
</file>