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F4F" w:rsidRDefault="00EB11B9" w:rsidP="00605E03">
      <w:pPr>
        <w:bidi w:val="0"/>
        <w:spacing w:line="360" w:lineRule="auto"/>
        <w:ind w:left="-227" w:right="-227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Lab </w:t>
      </w:r>
      <w:r w:rsidR="00605E03">
        <w:rPr>
          <w:rFonts w:asciiTheme="majorBidi" w:hAnsiTheme="majorBidi" w:cstheme="majorBidi"/>
          <w:b/>
          <w:bCs/>
          <w:sz w:val="40"/>
          <w:szCs w:val="40"/>
          <w:u w:val="single"/>
        </w:rPr>
        <w:t>Eight:</w:t>
      </w:r>
      <w:r w:rsidR="0065452A" w:rsidRPr="0065452A">
        <w:rPr>
          <w:rFonts w:asciiTheme="majorBidi" w:hAnsiTheme="majorBidi" w:cstheme="majorBidi"/>
          <w:b/>
          <w:bCs/>
          <w:sz w:val="40"/>
          <w:szCs w:val="40"/>
          <w:u w:val="single"/>
        </w:rPr>
        <w:t>.</w:t>
      </w:r>
    </w:p>
    <w:p w:rsidR="008A7C5B" w:rsidRDefault="00605E03" w:rsidP="008A7C5B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170"/>
        <w:rPr>
          <w:rFonts w:asciiTheme="majorBidi" w:hAnsiTheme="majorBidi" w:cstheme="majorBidi"/>
          <w:sz w:val="40"/>
          <w:szCs w:val="40"/>
          <w:lang w:bidi="ar-IQ"/>
        </w:rPr>
      </w:pPr>
      <w:r w:rsidRPr="00605E03">
        <w:rPr>
          <w:rFonts w:asciiTheme="majorBidi" w:hAnsiTheme="majorBidi" w:cstheme="majorBidi"/>
          <w:sz w:val="40"/>
          <w:szCs w:val="40"/>
          <w:lang w:bidi="ar-IQ"/>
        </w:rPr>
        <w:t>Sensitivity Test</w:t>
      </w:r>
      <w:r w:rsidRPr="00605E03">
        <w:rPr>
          <w:rFonts w:asciiTheme="majorBidi" w:hAnsiTheme="majorBidi" w:cstheme="majorBidi"/>
          <w:sz w:val="40"/>
          <w:szCs w:val="40"/>
          <w:rtl/>
          <w:lang w:bidi="ar-IQ"/>
        </w:rPr>
        <w:t xml:space="preserve"> </w:t>
      </w:r>
      <w:r w:rsidRPr="00605E03">
        <w:rPr>
          <w:rFonts w:asciiTheme="majorBidi" w:hAnsiTheme="majorBidi" w:cstheme="majorBidi"/>
          <w:sz w:val="40"/>
          <w:szCs w:val="40"/>
          <w:lang w:bidi="ar-IQ"/>
        </w:rPr>
        <w:t>Antifungal</w:t>
      </w:r>
    </w:p>
    <w:p w:rsidR="0065089E" w:rsidRDefault="0065089E" w:rsidP="0065089E">
      <w:pPr>
        <w:pStyle w:val="p"/>
        <w:spacing w:line="360" w:lineRule="auto"/>
        <w:ind w:left="-397" w:right="-454"/>
        <w:jc w:val="both"/>
        <w:rPr>
          <w:sz w:val="28"/>
          <w:szCs w:val="28"/>
        </w:rPr>
      </w:pPr>
      <w:r>
        <w:rPr>
          <w:sz w:val="28"/>
          <w:szCs w:val="28"/>
          <w:lang w:val="en"/>
        </w:rPr>
        <w:t xml:space="preserve">       </w:t>
      </w:r>
      <w:r w:rsidRPr="0065089E">
        <w:rPr>
          <w:sz w:val="28"/>
          <w:szCs w:val="28"/>
          <w:lang w:val="en"/>
        </w:rPr>
        <w:t xml:space="preserve">A diffusion method for determining the sensitivity of pathogenic fungi to therapeutic agents is described using tablets containing the following antibiotics: amphotericin B, clotrimazole, econazole, fluorocytosine, and miconazole. The composition of the media used, </w:t>
      </w:r>
      <w:r w:rsidR="00D175D3" w:rsidRPr="0065089E">
        <w:rPr>
          <w:sz w:val="28"/>
          <w:szCs w:val="28"/>
          <w:lang w:val="en"/>
        </w:rPr>
        <w:t>standardization</w:t>
      </w:r>
      <w:r w:rsidRPr="0065089E">
        <w:rPr>
          <w:sz w:val="28"/>
          <w:szCs w:val="28"/>
          <w:lang w:val="en"/>
        </w:rPr>
        <w:t xml:space="preserve"> of inocula, incubation time, and temperature are detailed.</w:t>
      </w:r>
    </w:p>
    <w:p w:rsidR="00CE15E8" w:rsidRPr="00CE15E8" w:rsidRDefault="00CE15E8" w:rsidP="00CE15E8">
      <w:pPr>
        <w:pStyle w:val="p"/>
        <w:spacing w:line="360" w:lineRule="auto"/>
        <w:ind w:left="-397" w:right="-454"/>
        <w:jc w:val="both"/>
        <w:rPr>
          <w:sz w:val="28"/>
          <w:szCs w:val="28"/>
        </w:rPr>
      </w:pPr>
      <w:r w:rsidRPr="00CE15E8">
        <w:rPr>
          <w:noProof/>
          <w:sz w:val="28"/>
          <w:szCs w:val="28"/>
        </w:rPr>
        <w:drawing>
          <wp:inline distT="0" distB="0" distL="0" distR="0" wp14:anchorId="01D11C2D" wp14:editId="4E329AD3">
            <wp:extent cx="5848350" cy="3088640"/>
            <wp:effectExtent l="0" t="0" r="0" b="0"/>
            <wp:docPr id="4" name="Picture 2" descr="drug targets">
              <a:hlinkClick xmlns:a="http://schemas.openxmlformats.org/drawingml/2006/main" r:id="rId8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rug targets">
                      <a:hlinkClick r:id="rId8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95" cy="30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FC" w:rsidRDefault="009A14FC" w:rsidP="009A14FC">
      <w:pPr>
        <w:autoSpaceDE w:val="0"/>
        <w:autoSpaceDN w:val="0"/>
        <w:bidi w:val="0"/>
        <w:adjustRightInd w:val="0"/>
        <w:spacing w:after="0" w:line="360" w:lineRule="auto"/>
        <w:ind w:left="-397" w:right="-567"/>
        <w:jc w:val="both"/>
        <w:rPr>
          <w:rFonts w:asciiTheme="majorBidi" w:hAnsiTheme="majorBidi" w:cstheme="majorBidi"/>
          <w:color w:val="262626"/>
          <w:sz w:val="28"/>
          <w:szCs w:val="28"/>
        </w:rPr>
      </w:pPr>
      <w:r>
        <w:rPr>
          <w:rFonts w:asciiTheme="majorBidi" w:hAnsiTheme="majorBidi" w:cstheme="majorBidi"/>
          <w:color w:val="262626"/>
          <w:sz w:val="28"/>
          <w:szCs w:val="28"/>
        </w:rPr>
        <w:t xml:space="preserve">      </w:t>
      </w:r>
      <w:r w:rsidRPr="009A14FC">
        <w:rPr>
          <w:rFonts w:asciiTheme="majorBidi" w:hAnsiTheme="majorBidi" w:cstheme="majorBidi"/>
          <w:color w:val="262626"/>
          <w:sz w:val="28"/>
          <w:szCs w:val="28"/>
        </w:rPr>
        <w:t>The establishment of a standardized broth reference method for antifungal susceptibility testing of yeasts has opened the door to a number of interesting and useful developments. In addition, the availability of reference methods provides a useful</w:t>
      </w:r>
      <w:r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r w:rsidRPr="009A14FC">
        <w:rPr>
          <w:rFonts w:asciiTheme="majorBidi" w:hAnsiTheme="majorBidi" w:cstheme="majorBidi"/>
          <w:color w:val="262626"/>
          <w:sz w:val="28"/>
          <w:szCs w:val="28"/>
        </w:rPr>
        <w:t>touchstone for the development of commercial products that promise to be more user friendly and to further improvement of test standardization</w:t>
      </w:r>
      <w:r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480FF7" w:rsidRDefault="009A14FC" w:rsidP="00480FF7">
      <w:pPr>
        <w:autoSpaceDE w:val="0"/>
        <w:autoSpaceDN w:val="0"/>
        <w:bidi w:val="0"/>
        <w:adjustRightInd w:val="0"/>
        <w:spacing w:after="0" w:line="360" w:lineRule="auto"/>
        <w:ind w:left="-397" w:right="-567"/>
        <w:jc w:val="both"/>
        <w:rPr>
          <w:rFonts w:asciiTheme="majorBidi" w:hAnsiTheme="majorBidi" w:cstheme="majorBidi"/>
          <w:color w:val="262626"/>
          <w:sz w:val="28"/>
          <w:szCs w:val="28"/>
        </w:rPr>
      </w:pPr>
      <w:r>
        <w:rPr>
          <w:rFonts w:asciiTheme="majorBidi" w:hAnsiTheme="majorBidi" w:cstheme="majorBidi"/>
          <w:color w:val="262626"/>
          <w:sz w:val="28"/>
          <w:szCs w:val="28"/>
        </w:rPr>
        <w:t xml:space="preserve">      </w:t>
      </w:r>
      <w:r w:rsidRPr="009A14FC">
        <w:rPr>
          <w:rFonts w:asciiTheme="majorBidi" w:hAnsiTheme="majorBidi" w:cstheme="majorBidi"/>
          <w:color w:val="262626"/>
          <w:sz w:val="28"/>
          <w:szCs w:val="28"/>
        </w:rPr>
        <w:t>Incorporation of antifungal susceptibility testing methods into the</w:t>
      </w:r>
      <w:r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r w:rsidRPr="009A14FC">
        <w:rPr>
          <w:rFonts w:asciiTheme="majorBidi" w:hAnsiTheme="majorBidi" w:cstheme="majorBidi"/>
          <w:color w:val="262626"/>
          <w:sz w:val="28"/>
          <w:szCs w:val="28"/>
        </w:rPr>
        <w:t>clinical trials of new</w:t>
      </w:r>
      <w:r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r w:rsidRPr="009A14FC">
        <w:rPr>
          <w:rFonts w:asciiTheme="majorBidi" w:hAnsiTheme="majorBidi" w:cstheme="majorBidi"/>
          <w:color w:val="262626"/>
          <w:sz w:val="28"/>
          <w:szCs w:val="28"/>
        </w:rPr>
        <w:t xml:space="preserve">antifungal agents will facilitate the establishment of clinical </w:t>
      </w:r>
      <w:r w:rsidRPr="009A14FC">
        <w:rPr>
          <w:rFonts w:asciiTheme="majorBidi" w:hAnsiTheme="majorBidi" w:cstheme="majorBidi"/>
          <w:color w:val="262626"/>
          <w:sz w:val="28"/>
          <w:szCs w:val="28"/>
        </w:rPr>
        <w:lastRenderedPageBreak/>
        <w:t>correlates and further enhance the clinical utility of antifungal susceptibility testing</w:t>
      </w:r>
      <w:r w:rsidR="00CE15E8"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CE15E8" w:rsidRPr="00480FF7" w:rsidRDefault="00CE15E8" w:rsidP="00480FF7">
      <w:pPr>
        <w:autoSpaceDE w:val="0"/>
        <w:autoSpaceDN w:val="0"/>
        <w:bidi w:val="0"/>
        <w:adjustRightInd w:val="0"/>
        <w:spacing w:after="0" w:line="360" w:lineRule="auto"/>
        <w:ind w:left="-397" w:right="-567"/>
        <w:jc w:val="both"/>
        <w:rPr>
          <w:rFonts w:asciiTheme="majorBidi" w:hAnsiTheme="majorBidi" w:cstheme="majorBidi"/>
          <w:b/>
          <w:bCs/>
          <w:color w:val="262626"/>
          <w:sz w:val="28"/>
          <w:szCs w:val="28"/>
        </w:rPr>
      </w:pPr>
      <w:r w:rsidRPr="00480FF7">
        <w:rPr>
          <w:rFonts w:asciiTheme="majorBidi" w:hAnsiTheme="majorBidi" w:cstheme="majorBidi"/>
          <w:b/>
          <w:bCs/>
          <w:color w:val="262626"/>
          <w:sz w:val="28"/>
          <w:szCs w:val="28"/>
        </w:rPr>
        <w:t>Do we have any methods</w:t>
      </w:r>
      <w:r w:rsidR="00480FF7" w:rsidRPr="00480FF7">
        <w:rPr>
          <w:rFonts w:asciiTheme="majorBidi" w:hAnsiTheme="majorBidi" w:cstheme="majorBidi"/>
          <w:b/>
          <w:bCs/>
          <w:color w:val="262626"/>
          <w:sz w:val="28"/>
          <w:szCs w:val="28"/>
        </w:rPr>
        <w:t xml:space="preserve"> for </w:t>
      </w:r>
      <w:r w:rsidR="00480FF7" w:rsidRPr="00480FF7">
        <w:rPr>
          <w:rFonts w:asciiTheme="majorBidi" w:hAnsiTheme="majorBidi" w:cstheme="majorBidi"/>
          <w:b/>
          <w:bCs/>
          <w:sz w:val="28"/>
          <w:szCs w:val="28"/>
          <w:lang w:bidi="ar-IQ"/>
        </w:rPr>
        <w:t>Sensitivity Test</w:t>
      </w:r>
      <w:r w:rsidR="00480FF7" w:rsidRPr="00480FF7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480FF7" w:rsidRPr="00480FF7">
        <w:rPr>
          <w:rFonts w:asciiTheme="majorBidi" w:hAnsiTheme="majorBidi" w:cstheme="majorBidi"/>
          <w:b/>
          <w:bCs/>
          <w:sz w:val="28"/>
          <w:szCs w:val="28"/>
          <w:lang w:bidi="ar-IQ"/>
        </w:rPr>
        <w:t>Antifungal</w:t>
      </w:r>
      <w:r w:rsidRPr="00480FF7">
        <w:rPr>
          <w:rFonts w:asciiTheme="majorBidi" w:hAnsiTheme="majorBidi" w:cstheme="majorBidi"/>
          <w:b/>
          <w:bCs/>
          <w:color w:val="262626"/>
          <w:sz w:val="28"/>
          <w:szCs w:val="28"/>
        </w:rPr>
        <w:t>?</w:t>
      </w:r>
    </w:p>
    <w:p w:rsidR="007676AC" w:rsidRPr="00CE15E8" w:rsidRDefault="00CE15E8" w:rsidP="00CE15E8">
      <w:pPr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ind w:left="-377" w:right="-567"/>
        <w:jc w:val="both"/>
        <w:rPr>
          <w:rFonts w:asciiTheme="majorBidi" w:hAnsiTheme="majorBidi" w:cstheme="majorBidi"/>
          <w:color w:val="262626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57C2B7D7" wp14:editId="64138EE4">
            <wp:simplePos x="0" y="0"/>
            <wp:positionH relativeFrom="margin">
              <wp:posOffset>1704975</wp:posOffset>
            </wp:positionH>
            <wp:positionV relativeFrom="margin">
              <wp:posOffset>1021080</wp:posOffset>
            </wp:positionV>
            <wp:extent cx="4315460" cy="36023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360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E15E8">
        <w:rPr>
          <w:rFonts w:asciiTheme="majorBidi" w:hAnsiTheme="majorBidi" w:cstheme="majorBidi"/>
          <w:color w:val="262626"/>
          <w:sz w:val="28"/>
          <w:szCs w:val="28"/>
        </w:rPr>
        <w:t>Macro-dilution method.</w:t>
      </w:r>
    </w:p>
    <w:p w:rsidR="007676AC" w:rsidRPr="00CE15E8" w:rsidRDefault="00CE15E8" w:rsidP="00CE15E8">
      <w:pPr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ind w:left="-377" w:right="-567"/>
        <w:jc w:val="both"/>
        <w:rPr>
          <w:rFonts w:asciiTheme="majorBidi" w:hAnsiTheme="majorBidi" w:cstheme="majorBidi"/>
          <w:color w:val="262626"/>
          <w:sz w:val="28"/>
          <w:szCs w:val="28"/>
          <w:rtl/>
          <w:lang w:bidi="ar-IQ"/>
        </w:rPr>
      </w:pPr>
      <w:r w:rsidRPr="00CE15E8">
        <w:rPr>
          <w:rFonts w:asciiTheme="majorBidi" w:hAnsiTheme="majorBidi" w:cstheme="majorBidi"/>
          <w:color w:val="262626"/>
          <w:sz w:val="28"/>
          <w:szCs w:val="28"/>
        </w:rPr>
        <w:t>Micro-dilution method.</w:t>
      </w:r>
    </w:p>
    <w:p w:rsidR="00CE15E8" w:rsidRDefault="00CE15E8" w:rsidP="00CE15E8">
      <w:pPr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ind w:left="-377" w:right="-567"/>
        <w:jc w:val="both"/>
        <w:rPr>
          <w:rFonts w:asciiTheme="majorBidi" w:hAnsiTheme="majorBidi" w:cstheme="majorBidi"/>
          <w:color w:val="262626"/>
          <w:sz w:val="28"/>
          <w:szCs w:val="28"/>
          <w:lang w:bidi="ar-IQ"/>
        </w:rPr>
      </w:pPr>
      <w:r w:rsidRPr="00CE15E8">
        <w:rPr>
          <w:rFonts w:asciiTheme="majorBidi" w:hAnsiTheme="majorBidi" w:cstheme="majorBidi"/>
          <w:color w:val="262626"/>
          <w:sz w:val="28"/>
          <w:szCs w:val="28"/>
        </w:rPr>
        <w:t>Disk diffusion method.</w:t>
      </w:r>
    </w:p>
    <w:p w:rsidR="00CE15E8" w:rsidRPr="00CE15E8" w:rsidRDefault="00CE15E8" w:rsidP="00CE15E8">
      <w:pPr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ind w:left="-377" w:right="-567"/>
        <w:jc w:val="both"/>
        <w:rPr>
          <w:rFonts w:asciiTheme="majorBidi" w:hAnsiTheme="majorBidi" w:cstheme="majorBidi"/>
          <w:color w:val="262626"/>
          <w:sz w:val="28"/>
          <w:szCs w:val="28"/>
          <w:lang w:bidi="ar-IQ"/>
        </w:rPr>
      </w:pPr>
      <w:r w:rsidRPr="00CE15E8">
        <w:rPr>
          <w:rFonts w:asciiTheme="majorBidi" w:hAnsiTheme="majorBidi" w:cstheme="majorBidi"/>
          <w:color w:val="262626"/>
          <w:sz w:val="28"/>
          <w:szCs w:val="28"/>
        </w:rPr>
        <w:t>Agar dilution method</w:t>
      </w:r>
      <w:r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605E03" w:rsidRDefault="00605E03" w:rsidP="00CE15E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CE15E8" w:rsidRDefault="00CE15E8" w:rsidP="00CE15E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CE15E8" w:rsidRDefault="00CE15E8" w:rsidP="00CE15E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CE15E8" w:rsidRDefault="00CE15E8" w:rsidP="00CE15E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CE15E8" w:rsidRDefault="00CE15E8" w:rsidP="00CE15E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CE15E8" w:rsidRDefault="00CE15E8" w:rsidP="00CE15E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281212" w:rsidRDefault="00281212" w:rsidP="00281212">
      <w:pPr>
        <w:pStyle w:val="ListParagraph"/>
        <w:tabs>
          <w:tab w:val="left" w:pos="615"/>
          <w:tab w:val="left" w:pos="1020"/>
        </w:tabs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  <w:r>
        <w:rPr>
          <w:rFonts w:asciiTheme="majorBidi" w:hAnsiTheme="majorBidi" w:cstheme="majorBidi"/>
          <w:sz w:val="40"/>
          <w:szCs w:val="40"/>
          <w:lang w:bidi="ar-IQ"/>
        </w:rPr>
        <w:tab/>
        <w:t>Antifungal:</w:t>
      </w:r>
      <w:r>
        <w:rPr>
          <w:rFonts w:asciiTheme="majorBidi" w:hAnsiTheme="majorBidi" w:cstheme="majorBidi"/>
          <w:sz w:val="40"/>
          <w:szCs w:val="40"/>
          <w:lang w:bidi="ar-IQ"/>
        </w:rPr>
        <w:tab/>
      </w: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036"/>
        <w:gridCol w:w="3402"/>
      </w:tblGrid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Voriconazole, Fungus 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Caspofungin, Fungus </w:t>
            </w:r>
          </w:p>
        </w:tc>
      </w:tr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Miconazole, Fungus 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Itraconazole, Fungus </w:t>
            </w:r>
          </w:p>
        </w:tc>
      </w:tr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Fluconazole, Fungus 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Ketoconazole, Fungus </w:t>
            </w:r>
          </w:p>
        </w:tc>
      </w:tr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Nystatin, Fungus 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5-Fluorocytosine, Fungus </w:t>
            </w:r>
          </w:p>
        </w:tc>
      </w:tr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Natamycin, Fungus 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Grisiofulvin, Fungus </w:t>
            </w:r>
          </w:p>
        </w:tc>
      </w:tr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Terbinafine, Fungus 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Terconazole, Fungus </w:t>
            </w:r>
          </w:p>
        </w:tc>
      </w:tr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Clotrimazole, Fungus </w:t>
            </w:r>
          </w:p>
        </w:tc>
        <w:tc>
          <w:tcPr>
            <w:tcW w:w="3381" w:type="dxa"/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E15E8" w:rsidRDefault="00CE15E8" w:rsidP="00281212">
      <w:pPr>
        <w:pStyle w:val="ListParagraph"/>
        <w:tabs>
          <w:tab w:val="left" w:pos="1020"/>
        </w:tabs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A27938" w:rsidRPr="00480FF7" w:rsidRDefault="00A27938" w:rsidP="00480FF7">
      <w:pPr>
        <w:autoSpaceDE w:val="0"/>
        <w:autoSpaceDN w:val="0"/>
        <w:bidi w:val="0"/>
        <w:adjustRightInd w:val="0"/>
        <w:spacing w:after="0" w:line="360" w:lineRule="auto"/>
        <w:ind w:right="-340"/>
        <w:rPr>
          <w:rFonts w:asciiTheme="majorBidi" w:hAnsiTheme="majorBidi" w:cstheme="majorBidi"/>
          <w:sz w:val="40"/>
          <w:szCs w:val="40"/>
          <w:lang w:bidi="ar-IQ"/>
        </w:rPr>
      </w:pPr>
      <w:r w:rsidRPr="00480FF7">
        <w:rPr>
          <w:rFonts w:asciiTheme="majorBidi" w:hAnsiTheme="majorBidi" w:cstheme="majorBidi"/>
          <w:b/>
          <w:bCs/>
          <w:sz w:val="32"/>
          <w:szCs w:val="32"/>
          <w:lang w:bidi="ar-IQ"/>
        </w:rPr>
        <w:t>Procedure</w:t>
      </w:r>
      <w:r w:rsidRPr="00480FF7">
        <w:rPr>
          <w:rFonts w:asciiTheme="majorBidi" w:hAnsiTheme="majorBidi" w:cstheme="majorBidi"/>
          <w:sz w:val="40"/>
          <w:szCs w:val="40"/>
          <w:lang w:bidi="ar-IQ"/>
        </w:rPr>
        <w:t>:</w:t>
      </w:r>
    </w:p>
    <w:p w:rsidR="00A27938" w:rsidRPr="00A27938" w:rsidRDefault="00A27938" w:rsidP="00A2793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-283" w:right="-34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Firstly, you should to prepare the following materials: </w:t>
      </w:r>
    </w:p>
    <w:p w:rsidR="007676AC" w:rsidRPr="00A27938" w:rsidRDefault="00A27938" w:rsidP="00281212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line="360" w:lineRule="auto"/>
        <w:ind w:left="-94"/>
        <w:rPr>
          <w:rFonts w:asciiTheme="majorBidi" w:hAnsiTheme="majorBidi" w:cstheme="majorBidi"/>
          <w:sz w:val="28"/>
          <w:szCs w:val="28"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>Disc diffusion susceptibility testing.</w:t>
      </w:r>
    </w:p>
    <w:p w:rsidR="007676AC" w:rsidRPr="00A27938" w:rsidRDefault="00A27938" w:rsidP="00A27938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>Candida  species.</w:t>
      </w:r>
    </w:p>
    <w:p w:rsidR="007676AC" w:rsidRPr="00A27938" w:rsidRDefault="00A27938" w:rsidP="00A27938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lastRenderedPageBreak/>
        <w:t>Good correlation with microdilution method.</w:t>
      </w:r>
    </w:p>
    <w:p w:rsidR="00A27938" w:rsidRPr="00A27938" w:rsidRDefault="00A27938" w:rsidP="00A27938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>Antifungal agents: Fluconazole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>Itraconazole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>Voriconazole</w:t>
      </w:r>
    </w:p>
    <w:p w:rsidR="007676AC" w:rsidRPr="00A27938" w:rsidRDefault="00A27938" w:rsidP="00A27938">
      <w:pPr>
        <w:pStyle w:val="ListParagraph"/>
        <w:numPr>
          <w:ilvl w:val="0"/>
          <w:numId w:val="14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Test medium: Muller- Hinton agar </w:t>
      </w:r>
    </w:p>
    <w:p w:rsidR="00A27938" w:rsidRPr="00A27938" w:rsidRDefault="00A27938" w:rsidP="00A27938">
      <w:pPr>
        <w:pStyle w:val="ListParagraph"/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                             Glucose (2%)</w:t>
      </w:r>
    </w:p>
    <w:p w:rsidR="00A27938" w:rsidRDefault="00A27938" w:rsidP="00A27938">
      <w:pPr>
        <w:pStyle w:val="ListParagraph"/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                             Methylene blue (0.5µg/ml)</w:t>
      </w:r>
    </w:p>
    <w:p w:rsidR="00CA20BA" w:rsidRPr="00CA20BA" w:rsidRDefault="00480FF7" w:rsidP="00CA2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DD5231C" wp14:editId="44B0AA5C">
            <wp:simplePos x="0" y="0"/>
            <wp:positionH relativeFrom="margin">
              <wp:posOffset>3648075</wp:posOffset>
            </wp:positionH>
            <wp:positionV relativeFrom="margin">
              <wp:posOffset>1678305</wp:posOffset>
            </wp:positionV>
            <wp:extent cx="2244725" cy="17703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ianJPatholMicrobiol_2014_57_4_595_142680_f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0BA" w:rsidRPr="00CA20BA">
        <w:rPr>
          <w:rFonts w:asciiTheme="majorBidi" w:hAnsiTheme="majorBidi" w:cstheme="majorBidi"/>
          <w:sz w:val="28"/>
          <w:szCs w:val="28"/>
        </w:rPr>
        <w:t xml:space="preserve">When supplemented with glucose to a final concentration of 2%, it provides for suitable fungal growth. The addition of methylene blue dye to a final concentration of 0.5 </w:t>
      </w:r>
      <w:r w:rsidR="00CA20BA" w:rsidRPr="00CA20BA">
        <w:rPr>
          <w:rFonts w:asciiTheme="majorBidi" w:eastAsia="SymbolMT" w:hAnsiTheme="majorBidi" w:cstheme="majorBidi"/>
          <w:sz w:val="28"/>
          <w:szCs w:val="28"/>
        </w:rPr>
        <w:t>μ</w:t>
      </w:r>
      <w:r w:rsidR="00CA20BA" w:rsidRPr="00CA20BA">
        <w:rPr>
          <w:rFonts w:asciiTheme="majorBidi" w:hAnsiTheme="majorBidi" w:cstheme="majorBidi"/>
          <w:sz w:val="28"/>
          <w:szCs w:val="28"/>
        </w:rPr>
        <w:t>g/mL enhances zone edge definition.</w:t>
      </w:r>
    </w:p>
    <w:p w:rsidR="007676AC" w:rsidRPr="00A27938" w:rsidRDefault="00A27938" w:rsidP="00A27938">
      <w:pPr>
        <w:pStyle w:val="ListParagraph"/>
        <w:numPr>
          <w:ilvl w:val="0"/>
          <w:numId w:val="15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>Inoculum preparation : SDA (24-hr old culture)</w:t>
      </w:r>
    </w:p>
    <w:p w:rsidR="007676AC" w:rsidRPr="00A27938" w:rsidRDefault="00A27938" w:rsidP="00A27938">
      <w:pPr>
        <w:pStyle w:val="ListParagraph"/>
        <w:numPr>
          <w:ilvl w:val="0"/>
          <w:numId w:val="15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>Test medium : stock inoculum suspension</w:t>
      </w:r>
    </w:p>
    <w:p w:rsidR="00A27938" w:rsidRPr="00A27938" w:rsidRDefault="00A27938" w:rsidP="00A27938">
      <w:pPr>
        <w:pStyle w:val="ListParagraph"/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                              0.5 McFarland standard</w:t>
      </w:r>
    </w:p>
    <w:p w:rsidR="00A27938" w:rsidRDefault="00A27938" w:rsidP="00A27938">
      <w:pPr>
        <w:pStyle w:val="ListParagraph"/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                              1</w:t>
      </w:r>
      <w:r w:rsidRPr="00A27938">
        <w:rPr>
          <w:rFonts w:asciiTheme="majorBidi" w:hAnsiTheme="majorBidi" w:cstheme="majorBidi"/>
          <w:sz w:val="28"/>
          <w:szCs w:val="28"/>
          <w:lang w:val="az-Cyrl-AZ" w:bidi="ar-IQ"/>
        </w:rPr>
        <w:t>Х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>10</w:t>
      </w:r>
      <w:r w:rsidRPr="00A27938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6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 to 5</w:t>
      </w:r>
      <w:r w:rsidRPr="00A27938">
        <w:rPr>
          <w:rFonts w:asciiTheme="majorBidi" w:hAnsiTheme="majorBidi" w:cstheme="majorBidi"/>
          <w:sz w:val="28"/>
          <w:szCs w:val="28"/>
          <w:lang w:val="az-Cyrl-AZ" w:bidi="ar-IQ"/>
        </w:rPr>
        <w:t>Х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>10</w:t>
      </w:r>
      <w:r w:rsidRPr="00A27938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6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 CFU/ml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 xml:space="preserve">The medium can be prepared and poured as the complete media with supplements (A1) </w:t>
      </w:r>
      <w:r w:rsidRPr="00CA20BA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or </w:t>
      </w:r>
      <w:r w:rsidRPr="00CA20BA">
        <w:rPr>
          <w:rFonts w:asciiTheme="majorBidi" w:hAnsiTheme="majorBidi" w:cstheme="majorBidi"/>
          <w:color w:val="000000"/>
          <w:sz w:val="28"/>
          <w:szCs w:val="28"/>
        </w:rPr>
        <w:t>the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>supplements can be added to commercially prepared Mueller-Hinton agar plates (A2). Using the latter technique enables the use of routine Mueller-Hinton agar plates from the bacteriology laboratory.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b/>
          <w:bCs/>
          <w:color w:val="000000"/>
          <w:sz w:val="28"/>
          <w:szCs w:val="28"/>
        </w:rPr>
        <w:t>A1. Preparation of Supplemented Mueller-Hinton Agar: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>(1) Mueller-Hinton agar should be prepared from a commercially available dehydrated Mueller-Hinton agar base according to the manufacturer’s instructions.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>(2) Dissolve 0.1 gram of methylene blue dye in 20 mL of distilled water and warm gently to dissolve.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CA20BA">
        <w:rPr>
          <w:rFonts w:asciiTheme="majorBidi" w:hAnsiTheme="majorBidi" w:cstheme="majorBidi"/>
          <w:color w:val="000000"/>
          <w:sz w:val="28"/>
          <w:szCs w:val="28"/>
        </w:rPr>
        <w:t>Do not overheat. Add 100 μL of this solution per liter of agar suspension.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>(3) Add 20 grams of glucose per liter of agar suspension.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>(4) Autoclave as directed by manufacturer’s instructions.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lastRenderedPageBreak/>
        <w:t>(5) Immediately after autoclaving, allow the agar solution to cool in a 45 to 50 °C water bath.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>(6) Pour the freshly prepared and cooled medium into plastic, flat-bottomed petri dishes on a level, horizontal surface to give a uniform depth of approximately 4 mm. This corresponds to 67 to 70 mL of medium for plates with diameters of 150 mm and 28 to 30 mL for plates with a diameter of 100 mm.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 xml:space="preserve">(7) The agar medium should be allowed to cool to room temperature and, unless the plate is used on the same day of preparation, stored at refrigerator temperature (2 to 8 °C). The agar medium should have a pH between 7.2 and 7.4 at room temperature. </w:t>
      </w:r>
      <w:r w:rsidRPr="00CA20BA">
        <w:rPr>
          <w:rFonts w:asciiTheme="majorBidi" w:hAnsiTheme="majorBidi" w:cstheme="majorBidi"/>
          <w:sz w:val="28"/>
          <w:szCs w:val="28"/>
        </w:rPr>
        <w:t>Plates should be used within seven days after preparation unless adequate precautions such as</w:t>
      </w:r>
      <w:r w:rsidRPr="00CA20B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CA20BA">
        <w:rPr>
          <w:rFonts w:asciiTheme="majorBidi" w:hAnsiTheme="majorBidi" w:cstheme="majorBidi"/>
          <w:sz w:val="28"/>
          <w:szCs w:val="28"/>
        </w:rPr>
        <w:t>wrapping in plastic have been taken to minimize drying of the agar.</w:t>
      </w:r>
    </w:p>
    <w:p w:rsidR="00CA20BA" w:rsidRPr="00CA20BA" w:rsidRDefault="00CA20BA" w:rsidP="008D3C29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sz w:val="28"/>
          <w:szCs w:val="28"/>
        </w:rPr>
      </w:pPr>
      <w:r w:rsidRPr="00CA20BA">
        <w:rPr>
          <w:rFonts w:asciiTheme="majorBidi" w:hAnsiTheme="majorBidi" w:cstheme="majorBidi"/>
          <w:sz w:val="28"/>
          <w:szCs w:val="28"/>
        </w:rPr>
        <w:t>(9) A representative sample of each batch of plates should be examined for sterility by incubating at 30 to 35 °C for 24 hours or longer. Plates should undergo quality</w:t>
      </w:r>
      <w:r w:rsidR="008D3C29">
        <w:rPr>
          <w:rFonts w:asciiTheme="majorBidi" w:hAnsiTheme="majorBidi" w:cstheme="majorBidi"/>
          <w:sz w:val="28"/>
          <w:szCs w:val="28"/>
        </w:rPr>
        <w:t xml:space="preserve"> control testing.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CA20BA">
        <w:rPr>
          <w:rFonts w:asciiTheme="majorBidi" w:hAnsiTheme="majorBidi" w:cstheme="majorBidi"/>
          <w:b/>
          <w:bCs/>
          <w:sz w:val="28"/>
          <w:szCs w:val="28"/>
        </w:rPr>
        <w:t>A2. Glucose-Methylene Blue (GMB) Supplementation of Commercially Prepared Mueller-Hinton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CA20BA">
        <w:rPr>
          <w:rFonts w:asciiTheme="majorBidi" w:hAnsiTheme="majorBidi" w:cstheme="majorBidi"/>
          <w:b/>
          <w:bCs/>
          <w:sz w:val="28"/>
          <w:szCs w:val="28"/>
        </w:rPr>
        <w:t>Agar: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sz w:val="28"/>
          <w:szCs w:val="28"/>
        </w:rPr>
      </w:pPr>
      <w:r w:rsidRPr="00CA20BA">
        <w:rPr>
          <w:rFonts w:asciiTheme="majorBidi" w:hAnsiTheme="majorBidi" w:cstheme="majorBidi"/>
          <w:sz w:val="28"/>
          <w:szCs w:val="28"/>
        </w:rPr>
        <w:t>(1) Commercially prepared Mueller-Hinton agar plates can be obtained from several manufacturers.</w:t>
      </w:r>
      <w:r w:rsidR="008D3C29">
        <w:rPr>
          <w:rFonts w:asciiTheme="majorBidi" w:hAnsiTheme="majorBidi" w:cstheme="majorBidi"/>
          <w:sz w:val="28"/>
          <w:szCs w:val="28"/>
        </w:rPr>
        <w:t xml:space="preserve"> </w:t>
      </w:r>
      <w:r w:rsidRPr="00CA20BA">
        <w:rPr>
          <w:rFonts w:asciiTheme="majorBidi" w:hAnsiTheme="majorBidi" w:cstheme="majorBidi"/>
          <w:sz w:val="28"/>
          <w:szCs w:val="28"/>
        </w:rPr>
        <w:t>These are the same plates utilized by the bacteriology laboratory for performing Kirby-Bauer disk diffusion tests on bacteria.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sz w:val="28"/>
          <w:szCs w:val="28"/>
        </w:rPr>
      </w:pPr>
      <w:r w:rsidRPr="00CA20BA">
        <w:rPr>
          <w:rFonts w:asciiTheme="majorBidi" w:hAnsiTheme="majorBidi" w:cstheme="majorBidi"/>
          <w:sz w:val="28"/>
          <w:szCs w:val="28"/>
        </w:rPr>
        <w:t xml:space="preserve">(2) Dissolve 0.1 gram of methylene blue dye to 20 mL of distilled water and warm gently to dissolve. Do not overheat. Add 100 </w:t>
      </w:r>
      <w:r w:rsidRPr="00CA20BA">
        <w:rPr>
          <w:rFonts w:asciiTheme="majorBidi" w:eastAsia="SymbolMT" w:hAnsiTheme="majorBidi" w:cstheme="majorBidi"/>
          <w:sz w:val="28"/>
          <w:szCs w:val="28"/>
        </w:rPr>
        <w:t>μ</w:t>
      </w:r>
      <w:r w:rsidRPr="00CA20BA">
        <w:rPr>
          <w:rFonts w:asciiTheme="majorBidi" w:hAnsiTheme="majorBidi" w:cstheme="majorBidi"/>
          <w:sz w:val="28"/>
          <w:szCs w:val="28"/>
        </w:rPr>
        <w:t>L of this solution per liter of agar suspension.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sz w:val="28"/>
          <w:szCs w:val="28"/>
        </w:rPr>
      </w:pPr>
      <w:r w:rsidRPr="00CA20BA">
        <w:rPr>
          <w:rFonts w:asciiTheme="majorBidi" w:hAnsiTheme="majorBidi" w:cstheme="majorBidi"/>
          <w:sz w:val="28"/>
          <w:szCs w:val="28"/>
        </w:rPr>
        <w:t>(3) Prepare a 0.4 g/mL stock solution of glucose by dissolving 40 grams of glucose in 100 mL of distilled water. Heat gently and mix to dissolve.</w:t>
      </w:r>
    </w:p>
    <w:p w:rsidR="00CA20BA" w:rsidRPr="00455F13" w:rsidRDefault="00CA20BA" w:rsidP="00455F13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455F13" w:rsidRDefault="00455F13" w:rsidP="00455F13">
      <w:pPr>
        <w:autoSpaceDE w:val="0"/>
        <w:autoSpaceDN w:val="0"/>
        <w:bidi w:val="0"/>
        <w:adjustRightInd w:val="0"/>
        <w:spacing w:after="0" w:line="360" w:lineRule="auto"/>
        <w:ind w:right="-397"/>
        <w:jc w:val="both"/>
        <w:rPr>
          <w:rFonts w:asciiTheme="majorBidi" w:hAnsiTheme="majorBidi" w:cstheme="majorBidi"/>
          <w:sz w:val="28"/>
          <w:szCs w:val="28"/>
          <w:lang w:bidi="ar-IQ"/>
        </w:rPr>
      </w:pPr>
      <w:bookmarkStart w:id="0" w:name="_GoBack"/>
      <w:bookmarkEnd w:id="0"/>
    </w:p>
    <w:sectPr w:rsidR="00455F13" w:rsidSect="004B56D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68E" w:rsidRDefault="0072268E" w:rsidP="000C247F">
      <w:pPr>
        <w:spacing w:after="0" w:line="240" w:lineRule="auto"/>
      </w:pPr>
      <w:r>
        <w:separator/>
      </w:r>
    </w:p>
  </w:endnote>
  <w:endnote w:type="continuationSeparator" w:id="0">
    <w:p w:rsidR="0072268E" w:rsidRDefault="0072268E" w:rsidP="000C2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68E" w:rsidRDefault="0072268E" w:rsidP="000C247F">
      <w:pPr>
        <w:spacing w:after="0" w:line="240" w:lineRule="auto"/>
      </w:pPr>
      <w:r>
        <w:separator/>
      </w:r>
    </w:p>
  </w:footnote>
  <w:footnote w:type="continuationSeparator" w:id="0">
    <w:p w:rsidR="0072268E" w:rsidRDefault="0072268E" w:rsidP="000C2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C7B22"/>
    <w:multiLevelType w:val="hybridMultilevel"/>
    <w:tmpl w:val="31A04380"/>
    <w:lvl w:ilvl="0" w:tplc="E7AAFE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4E8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4A1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D0EF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388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14F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CE5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A00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2EB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5A744D"/>
    <w:multiLevelType w:val="hybridMultilevel"/>
    <w:tmpl w:val="98B60156"/>
    <w:lvl w:ilvl="0" w:tplc="40D209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912BA"/>
    <w:multiLevelType w:val="hybridMultilevel"/>
    <w:tmpl w:val="729E81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FB92711"/>
    <w:multiLevelType w:val="hybridMultilevel"/>
    <w:tmpl w:val="F3A24ECC"/>
    <w:lvl w:ilvl="0" w:tplc="ADCAA608">
      <w:start w:val="1"/>
      <w:numFmt w:val="decimal"/>
      <w:lvlText w:val="%1-"/>
      <w:lvlJc w:val="left"/>
      <w:pPr>
        <w:ind w:left="-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3" w:hanging="360"/>
      </w:pPr>
    </w:lvl>
    <w:lvl w:ilvl="2" w:tplc="0409001B" w:tentative="1">
      <w:start w:val="1"/>
      <w:numFmt w:val="lowerRoman"/>
      <w:lvlText w:val="%3."/>
      <w:lvlJc w:val="right"/>
      <w:pPr>
        <w:ind w:left="1403" w:hanging="180"/>
      </w:pPr>
    </w:lvl>
    <w:lvl w:ilvl="3" w:tplc="0409000F" w:tentative="1">
      <w:start w:val="1"/>
      <w:numFmt w:val="decimal"/>
      <w:lvlText w:val="%4."/>
      <w:lvlJc w:val="left"/>
      <w:pPr>
        <w:ind w:left="2123" w:hanging="360"/>
      </w:pPr>
    </w:lvl>
    <w:lvl w:ilvl="4" w:tplc="04090019" w:tentative="1">
      <w:start w:val="1"/>
      <w:numFmt w:val="lowerLetter"/>
      <w:lvlText w:val="%5."/>
      <w:lvlJc w:val="left"/>
      <w:pPr>
        <w:ind w:left="2843" w:hanging="360"/>
      </w:pPr>
    </w:lvl>
    <w:lvl w:ilvl="5" w:tplc="0409001B" w:tentative="1">
      <w:start w:val="1"/>
      <w:numFmt w:val="lowerRoman"/>
      <w:lvlText w:val="%6."/>
      <w:lvlJc w:val="right"/>
      <w:pPr>
        <w:ind w:left="3563" w:hanging="180"/>
      </w:pPr>
    </w:lvl>
    <w:lvl w:ilvl="6" w:tplc="0409000F" w:tentative="1">
      <w:start w:val="1"/>
      <w:numFmt w:val="decimal"/>
      <w:lvlText w:val="%7."/>
      <w:lvlJc w:val="left"/>
      <w:pPr>
        <w:ind w:left="4283" w:hanging="360"/>
      </w:pPr>
    </w:lvl>
    <w:lvl w:ilvl="7" w:tplc="04090019" w:tentative="1">
      <w:start w:val="1"/>
      <w:numFmt w:val="lowerLetter"/>
      <w:lvlText w:val="%8."/>
      <w:lvlJc w:val="left"/>
      <w:pPr>
        <w:ind w:left="5003" w:hanging="360"/>
      </w:pPr>
    </w:lvl>
    <w:lvl w:ilvl="8" w:tplc="0409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4">
    <w:nsid w:val="252A62F8"/>
    <w:multiLevelType w:val="hybridMultilevel"/>
    <w:tmpl w:val="93080B82"/>
    <w:lvl w:ilvl="0" w:tplc="3A88C9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291CEC"/>
    <w:multiLevelType w:val="hybridMultilevel"/>
    <w:tmpl w:val="71EAB32C"/>
    <w:lvl w:ilvl="0" w:tplc="265E4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065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01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2CB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726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789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8CB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68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02B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7686DCB"/>
    <w:multiLevelType w:val="hybridMultilevel"/>
    <w:tmpl w:val="60868E9C"/>
    <w:lvl w:ilvl="0" w:tplc="92D2FF46">
      <w:start w:val="1"/>
      <w:numFmt w:val="decimal"/>
      <w:lvlText w:val="%1-"/>
      <w:lvlJc w:val="left"/>
      <w:pPr>
        <w:ind w:left="-207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28D77896"/>
    <w:multiLevelType w:val="hybridMultilevel"/>
    <w:tmpl w:val="D7D6E204"/>
    <w:lvl w:ilvl="0" w:tplc="446A0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CC82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F85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54D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A6D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A5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88F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9E4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E2C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28F5AE1"/>
    <w:multiLevelType w:val="hybridMultilevel"/>
    <w:tmpl w:val="65C0F7E2"/>
    <w:lvl w:ilvl="0" w:tplc="5F98B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F8D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6CA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72E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BAF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04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40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0C8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2A2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D0358C2"/>
    <w:multiLevelType w:val="hybridMultilevel"/>
    <w:tmpl w:val="C88C2212"/>
    <w:lvl w:ilvl="0" w:tplc="7214D3A4">
      <w:start w:val="1"/>
      <w:numFmt w:val="decimal"/>
      <w:lvlText w:val="%1-"/>
      <w:lvlJc w:val="left"/>
      <w:pPr>
        <w:ind w:left="-9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626" w:hanging="360"/>
      </w:pPr>
    </w:lvl>
    <w:lvl w:ilvl="2" w:tplc="0409001B" w:tentative="1">
      <w:start w:val="1"/>
      <w:numFmt w:val="lowerRoman"/>
      <w:lvlText w:val="%3."/>
      <w:lvlJc w:val="right"/>
      <w:pPr>
        <w:ind w:left="1346" w:hanging="180"/>
      </w:pPr>
    </w:lvl>
    <w:lvl w:ilvl="3" w:tplc="0409000F" w:tentative="1">
      <w:start w:val="1"/>
      <w:numFmt w:val="decimal"/>
      <w:lvlText w:val="%4."/>
      <w:lvlJc w:val="left"/>
      <w:pPr>
        <w:ind w:left="2066" w:hanging="360"/>
      </w:pPr>
    </w:lvl>
    <w:lvl w:ilvl="4" w:tplc="04090019" w:tentative="1">
      <w:start w:val="1"/>
      <w:numFmt w:val="lowerLetter"/>
      <w:lvlText w:val="%5."/>
      <w:lvlJc w:val="left"/>
      <w:pPr>
        <w:ind w:left="2786" w:hanging="360"/>
      </w:pPr>
    </w:lvl>
    <w:lvl w:ilvl="5" w:tplc="0409001B" w:tentative="1">
      <w:start w:val="1"/>
      <w:numFmt w:val="lowerRoman"/>
      <w:lvlText w:val="%6."/>
      <w:lvlJc w:val="right"/>
      <w:pPr>
        <w:ind w:left="3506" w:hanging="180"/>
      </w:pPr>
    </w:lvl>
    <w:lvl w:ilvl="6" w:tplc="0409000F" w:tentative="1">
      <w:start w:val="1"/>
      <w:numFmt w:val="decimal"/>
      <w:lvlText w:val="%7."/>
      <w:lvlJc w:val="left"/>
      <w:pPr>
        <w:ind w:left="4226" w:hanging="360"/>
      </w:pPr>
    </w:lvl>
    <w:lvl w:ilvl="7" w:tplc="04090019" w:tentative="1">
      <w:start w:val="1"/>
      <w:numFmt w:val="lowerLetter"/>
      <w:lvlText w:val="%8."/>
      <w:lvlJc w:val="left"/>
      <w:pPr>
        <w:ind w:left="4946" w:hanging="360"/>
      </w:pPr>
    </w:lvl>
    <w:lvl w:ilvl="8" w:tplc="0409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10">
    <w:nsid w:val="430B394A"/>
    <w:multiLevelType w:val="hybridMultilevel"/>
    <w:tmpl w:val="14D0CD42"/>
    <w:lvl w:ilvl="0" w:tplc="D60AC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E925B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1660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ACBB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A2E2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3AB6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249D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5E69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E6C0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305636"/>
    <w:multiLevelType w:val="hybridMultilevel"/>
    <w:tmpl w:val="17B26ACA"/>
    <w:lvl w:ilvl="0" w:tplc="E83CCF30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BD37109"/>
    <w:multiLevelType w:val="hybridMultilevel"/>
    <w:tmpl w:val="792AB39E"/>
    <w:lvl w:ilvl="0" w:tplc="EED8795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A16879"/>
    <w:multiLevelType w:val="hybridMultilevel"/>
    <w:tmpl w:val="FDA68C1A"/>
    <w:lvl w:ilvl="0" w:tplc="F7C28EAC">
      <w:start w:val="1"/>
      <w:numFmt w:val="decimal"/>
      <w:lvlText w:val="%1-"/>
      <w:lvlJc w:val="left"/>
      <w:pPr>
        <w:ind w:left="15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7C273F0F"/>
    <w:multiLevelType w:val="hybridMultilevel"/>
    <w:tmpl w:val="98B60156"/>
    <w:lvl w:ilvl="0" w:tplc="40D209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9"/>
  </w:num>
  <w:num w:numId="5">
    <w:abstractNumId w:val="6"/>
  </w:num>
  <w:num w:numId="6">
    <w:abstractNumId w:val="13"/>
  </w:num>
  <w:num w:numId="7">
    <w:abstractNumId w:val="14"/>
  </w:num>
  <w:num w:numId="8">
    <w:abstractNumId w:val="1"/>
  </w:num>
  <w:num w:numId="9">
    <w:abstractNumId w:val="12"/>
  </w:num>
  <w:num w:numId="10">
    <w:abstractNumId w:val="10"/>
  </w:num>
  <w:num w:numId="11">
    <w:abstractNumId w:val="4"/>
  </w:num>
  <w:num w:numId="12">
    <w:abstractNumId w:val="0"/>
  </w:num>
  <w:num w:numId="13">
    <w:abstractNumId w:val="5"/>
  </w:num>
  <w:num w:numId="14">
    <w:abstractNumId w:val="7"/>
  </w:num>
  <w:num w:numId="15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452A"/>
    <w:rsid w:val="00004342"/>
    <w:rsid w:val="00015317"/>
    <w:rsid w:val="00017524"/>
    <w:rsid w:val="00036F75"/>
    <w:rsid w:val="00067066"/>
    <w:rsid w:val="0007140C"/>
    <w:rsid w:val="000A4C0A"/>
    <w:rsid w:val="000C247F"/>
    <w:rsid w:val="000C3885"/>
    <w:rsid w:val="000D1E85"/>
    <w:rsid w:val="000F55F0"/>
    <w:rsid w:val="001115F0"/>
    <w:rsid w:val="00142323"/>
    <w:rsid w:val="00145D8E"/>
    <w:rsid w:val="001463B6"/>
    <w:rsid w:val="00190282"/>
    <w:rsid w:val="001A1C65"/>
    <w:rsid w:val="001B4685"/>
    <w:rsid w:val="001C4224"/>
    <w:rsid w:val="001F7CBF"/>
    <w:rsid w:val="00206002"/>
    <w:rsid w:val="00207C74"/>
    <w:rsid w:val="0023466D"/>
    <w:rsid w:val="00264AD5"/>
    <w:rsid w:val="00281212"/>
    <w:rsid w:val="002820D7"/>
    <w:rsid w:val="002A04FE"/>
    <w:rsid w:val="002B2CBE"/>
    <w:rsid w:val="002B68E9"/>
    <w:rsid w:val="002E3483"/>
    <w:rsid w:val="00322A05"/>
    <w:rsid w:val="00331330"/>
    <w:rsid w:val="00342031"/>
    <w:rsid w:val="00347207"/>
    <w:rsid w:val="0035196E"/>
    <w:rsid w:val="00355FE6"/>
    <w:rsid w:val="00372272"/>
    <w:rsid w:val="00383CDD"/>
    <w:rsid w:val="00394056"/>
    <w:rsid w:val="003A30CD"/>
    <w:rsid w:val="003D5190"/>
    <w:rsid w:val="003D5471"/>
    <w:rsid w:val="00415370"/>
    <w:rsid w:val="0043141D"/>
    <w:rsid w:val="00455F13"/>
    <w:rsid w:val="00480FF7"/>
    <w:rsid w:val="0049071E"/>
    <w:rsid w:val="00492F4F"/>
    <w:rsid w:val="004B0305"/>
    <w:rsid w:val="004B304C"/>
    <w:rsid w:val="004B56D3"/>
    <w:rsid w:val="004D37F2"/>
    <w:rsid w:val="004D3837"/>
    <w:rsid w:val="004D43E0"/>
    <w:rsid w:val="00530ED5"/>
    <w:rsid w:val="00530FC3"/>
    <w:rsid w:val="00542DA7"/>
    <w:rsid w:val="00556860"/>
    <w:rsid w:val="005F1AFB"/>
    <w:rsid w:val="00605E03"/>
    <w:rsid w:val="006403F8"/>
    <w:rsid w:val="0065089E"/>
    <w:rsid w:val="0065452A"/>
    <w:rsid w:val="00687AAB"/>
    <w:rsid w:val="00696AC6"/>
    <w:rsid w:val="006B5B3D"/>
    <w:rsid w:val="006D55B5"/>
    <w:rsid w:val="00722331"/>
    <w:rsid w:val="0072268E"/>
    <w:rsid w:val="00725E14"/>
    <w:rsid w:val="007676AC"/>
    <w:rsid w:val="00776584"/>
    <w:rsid w:val="007D7121"/>
    <w:rsid w:val="007F1317"/>
    <w:rsid w:val="007F6894"/>
    <w:rsid w:val="008021CB"/>
    <w:rsid w:val="0081445E"/>
    <w:rsid w:val="00835CAB"/>
    <w:rsid w:val="008410C3"/>
    <w:rsid w:val="008A5591"/>
    <w:rsid w:val="008A7C5B"/>
    <w:rsid w:val="008D3C29"/>
    <w:rsid w:val="008E42BA"/>
    <w:rsid w:val="00920D5A"/>
    <w:rsid w:val="0092416E"/>
    <w:rsid w:val="00951567"/>
    <w:rsid w:val="00987457"/>
    <w:rsid w:val="009A0CAB"/>
    <w:rsid w:val="009A14FC"/>
    <w:rsid w:val="009E08BF"/>
    <w:rsid w:val="009E3BA8"/>
    <w:rsid w:val="009F7886"/>
    <w:rsid w:val="00A11FD9"/>
    <w:rsid w:val="00A27938"/>
    <w:rsid w:val="00A45141"/>
    <w:rsid w:val="00A60D33"/>
    <w:rsid w:val="00AB3484"/>
    <w:rsid w:val="00AB4B00"/>
    <w:rsid w:val="00AB5EA0"/>
    <w:rsid w:val="00AD340D"/>
    <w:rsid w:val="00B0383A"/>
    <w:rsid w:val="00BD74EA"/>
    <w:rsid w:val="00BE1AC7"/>
    <w:rsid w:val="00C00C90"/>
    <w:rsid w:val="00C205BA"/>
    <w:rsid w:val="00C31162"/>
    <w:rsid w:val="00C70707"/>
    <w:rsid w:val="00C83D55"/>
    <w:rsid w:val="00C875DB"/>
    <w:rsid w:val="00C944B5"/>
    <w:rsid w:val="00CA2063"/>
    <w:rsid w:val="00CA20BA"/>
    <w:rsid w:val="00CA2D11"/>
    <w:rsid w:val="00CC3C36"/>
    <w:rsid w:val="00CC6C59"/>
    <w:rsid w:val="00CD23F2"/>
    <w:rsid w:val="00CE15E8"/>
    <w:rsid w:val="00CF6685"/>
    <w:rsid w:val="00D10E9E"/>
    <w:rsid w:val="00D1440B"/>
    <w:rsid w:val="00D175D3"/>
    <w:rsid w:val="00D31D86"/>
    <w:rsid w:val="00D4024D"/>
    <w:rsid w:val="00D83F70"/>
    <w:rsid w:val="00D87CBD"/>
    <w:rsid w:val="00DC634E"/>
    <w:rsid w:val="00DD3279"/>
    <w:rsid w:val="00DE29FC"/>
    <w:rsid w:val="00DF3700"/>
    <w:rsid w:val="00E05B99"/>
    <w:rsid w:val="00E15867"/>
    <w:rsid w:val="00E426B1"/>
    <w:rsid w:val="00E73CA7"/>
    <w:rsid w:val="00E761F3"/>
    <w:rsid w:val="00EA041E"/>
    <w:rsid w:val="00EA4C7B"/>
    <w:rsid w:val="00EB11B9"/>
    <w:rsid w:val="00EB58DD"/>
    <w:rsid w:val="00EC1EF7"/>
    <w:rsid w:val="00EE786F"/>
    <w:rsid w:val="00F11565"/>
    <w:rsid w:val="00F41E82"/>
    <w:rsid w:val="00F42CE8"/>
    <w:rsid w:val="00F45D46"/>
    <w:rsid w:val="00F67AD2"/>
    <w:rsid w:val="00F75A21"/>
    <w:rsid w:val="00F76FED"/>
    <w:rsid w:val="00F87C36"/>
    <w:rsid w:val="00FC141D"/>
    <w:rsid w:val="00FD1C52"/>
    <w:rsid w:val="00FD3CE3"/>
    <w:rsid w:val="00FE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02DBD36-7B4E-4946-AFEC-7C2A412F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F4F"/>
    <w:pPr>
      <w:bidi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30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30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BD74EA"/>
    <w:pPr>
      <w:bidi w:val="0"/>
      <w:spacing w:after="157" w:line="282" w:lineRule="atLeast"/>
      <w:ind w:left="157" w:right="157"/>
      <w:outlineLvl w:val="3"/>
    </w:pPr>
    <w:rPr>
      <w:rFonts w:ascii="Times New Roman" w:eastAsia="Times New Roman" w:hAnsi="Times New Roman" w:cs="Times New Roman"/>
      <w:b/>
      <w:bCs/>
      <w:color w:val="416E9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intitle">
    <w:name w:val="maintitle"/>
    <w:basedOn w:val="DefaultParagraphFont"/>
    <w:rsid w:val="0065452A"/>
  </w:style>
  <w:style w:type="paragraph" w:styleId="ListParagraph">
    <w:name w:val="List Paragraph"/>
    <w:basedOn w:val="Normal"/>
    <w:uiPriority w:val="34"/>
    <w:qFormat/>
    <w:rsid w:val="00FE347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0600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0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761F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DefaultParagraphFont"/>
    <w:rsid w:val="00C875DB"/>
  </w:style>
  <w:style w:type="character" w:customStyle="1" w:styleId="Heading4Char">
    <w:name w:val="Heading 4 Char"/>
    <w:basedOn w:val="DefaultParagraphFont"/>
    <w:link w:val="Heading4"/>
    <w:uiPriority w:val="9"/>
    <w:rsid w:val="00BD74EA"/>
    <w:rPr>
      <w:rFonts w:ascii="Times New Roman" w:eastAsia="Times New Roman" w:hAnsi="Times New Roman" w:cs="Times New Roman"/>
      <w:b/>
      <w:bCs/>
      <w:color w:val="416E9B"/>
    </w:rPr>
  </w:style>
  <w:style w:type="character" w:styleId="Emphasis">
    <w:name w:val="Emphasis"/>
    <w:basedOn w:val="DefaultParagraphFont"/>
    <w:uiPriority w:val="20"/>
    <w:qFormat/>
    <w:rsid w:val="00BD74EA"/>
    <w:rPr>
      <w:i/>
      <w:iCs/>
    </w:rPr>
  </w:style>
  <w:style w:type="character" w:customStyle="1" w:styleId="atn">
    <w:name w:val="atn"/>
    <w:basedOn w:val="DefaultParagraphFont"/>
    <w:rsid w:val="00347207"/>
  </w:style>
  <w:style w:type="character" w:customStyle="1" w:styleId="shorttext">
    <w:name w:val="short_text"/>
    <w:basedOn w:val="DefaultParagraphFont"/>
    <w:rsid w:val="00CA2D11"/>
  </w:style>
  <w:style w:type="character" w:styleId="Hyperlink">
    <w:name w:val="Hyperlink"/>
    <w:basedOn w:val="DefaultParagraphFont"/>
    <w:uiPriority w:val="99"/>
    <w:semiHidden/>
    <w:unhideWhenUsed/>
    <w:rsid w:val="0041537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24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47F"/>
  </w:style>
  <w:style w:type="paragraph" w:styleId="Footer">
    <w:name w:val="footer"/>
    <w:basedOn w:val="Normal"/>
    <w:link w:val="FooterChar"/>
    <w:unhideWhenUsed/>
    <w:rsid w:val="000C24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47F"/>
  </w:style>
  <w:style w:type="paragraph" w:customStyle="1" w:styleId="Default">
    <w:name w:val="Default"/>
    <w:rsid w:val="009A0C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30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30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">
    <w:name w:val="p"/>
    <w:basedOn w:val="Normal"/>
    <w:rsid w:val="0065089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43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9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2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2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3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03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09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79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307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1463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9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2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104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44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430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29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62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3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6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50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04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9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53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7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2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0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3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5268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7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326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281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9749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2761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4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44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69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774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401">
          <w:marLeft w:val="547"/>
          <w:marRight w:val="0"/>
          <w:marTop w:val="134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9976">
          <w:marLeft w:val="547"/>
          <w:marRight w:val="0"/>
          <w:marTop w:val="134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8414">
          <w:marLeft w:val="547"/>
          <w:marRight w:val="0"/>
          <w:marTop w:val="134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731">
          <w:marLeft w:val="547"/>
          <w:marRight w:val="0"/>
          <w:marTop w:val="134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280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5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80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2904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8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66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51164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25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3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6019">
          <w:marLeft w:val="547"/>
          <w:marRight w:val="0"/>
          <w:marTop w:val="134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736">
          <w:marLeft w:val="547"/>
          <w:marRight w:val="0"/>
          <w:marTop w:val="134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3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583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355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520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8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87025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106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17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50178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216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9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19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0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9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58550">
          <w:marLeft w:val="547"/>
          <w:marRight w:val="0"/>
          <w:marTop w:val="154"/>
          <w:marBottom w:val="7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57">
          <w:marLeft w:val="547"/>
          <w:marRight w:val="0"/>
          <w:marTop w:val="154"/>
          <w:marBottom w:val="7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281">
          <w:marLeft w:val="547"/>
          <w:marRight w:val="0"/>
          <w:marTop w:val="154"/>
          <w:marBottom w:val="7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8762">
              <w:marLeft w:val="1565"/>
              <w:marRight w:val="15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6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3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08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5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8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8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3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083721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36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55521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32831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3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75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7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04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90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9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01720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1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6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7026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160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102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2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5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38964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4665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2896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6193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8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32854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154">
          <w:marLeft w:val="547"/>
          <w:marRight w:val="0"/>
          <w:marTop w:val="154"/>
          <w:marBottom w:val="7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7366">
          <w:marLeft w:val="547"/>
          <w:marRight w:val="0"/>
          <w:marTop w:val="154"/>
          <w:marBottom w:val="7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440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611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67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10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935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257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605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ctorfungus.org/thedrugs/images/drug-targets.jp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EB4C6-B59B-41CB-9481-700989298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698</Words>
  <Characters>3979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yousif</dc:creator>
  <cp:lastModifiedBy>esraa biotechnology</cp:lastModifiedBy>
  <cp:revision>19</cp:revision>
  <cp:lastPrinted>2013-09-28T18:50:00Z</cp:lastPrinted>
  <dcterms:created xsi:type="dcterms:W3CDTF">2016-04-13T21:32:00Z</dcterms:created>
  <dcterms:modified xsi:type="dcterms:W3CDTF">2016-04-20T21:03:00Z</dcterms:modified>
</cp:coreProperties>
</file>